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720971" w14:textId="2D8F355C" w:rsidR="009776E6" w:rsidRPr="00993DC7" w:rsidRDefault="009776E6" w:rsidP="009776E6">
      <w:pPr>
        <w:bidi/>
        <w:spacing w:after="0"/>
        <w:jc w:val="center"/>
        <w:rPr>
          <w:rFonts w:ascii="Times New Roman" w:hAnsi="Times New Roman" w:cs="Times New Roman"/>
          <w:b/>
          <w:bCs/>
          <w:sz w:val="26"/>
          <w:szCs w:val="26"/>
        </w:rPr>
      </w:pPr>
      <w:r w:rsidRPr="00993DC7">
        <w:rPr>
          <w:rFonts w:ascii="Times New Roman" w:hAnsi="Times New Roman" w:cs="Times New Roman"/>
          <w:b/>
          <w:bCs/>
          <w:sz w:val="26"/>
          <w:szCs w:val="26"/>
          <w:rtl/>
        </w:rPr>
        <w:t>تعليمات قانونية بشأن الحقوق والواجبات</w:t>
      </w:r>
    </w:p>
    <w:p w14:paraId="18E0F3D2" w14:textId="77777777" w:rsidR="009776E6" w:rsidRPr="004E02D8" w:rsidRDefault="009776E6" w:rsidP="009776E6">
      <w:pPr>
        <w:bidi/>
        <w:spacing w:after="0"/>
        <w:rPr>
          <w:rFonts w:ascii="Times New Roman" w:hAnsi="Times New Roman" w:cs="Times New Roman"/>
        </w:rPr>
      </w:pPr>
    </w:p>
    <w:p w14:paraId="08F67983" w14:textId="77777777" w:rsidR="009776E6" w:rsidRPr="00993DC7" w:rsidRDefault="009776E6" w:rsidP="009776E6">
      <w:pPr>
        <w:bidi/>
        <w:spacing w:after="0" w:line="360" w:lineRule="auto"/>
        <w:jc w:val="both"/>
        <w:rPr>
          <w:rFonts w:ascii="Times New Roman" w:hAnsi="Times New Roman" w:cs="Times New Roman"/>
          <w:b/>
          <w:bCs/>
          <w:sz w:val="20"/>
          <w:szCs w:val="20"/>
        </w:rPr>
      </w:pPr>
      <w:r w:rsidRPr="00993DC7">
        <w:rPr>
          <w:rFonts w:ascii="Times New Roman" w:hAnsi="Times New Roman" w:cs="Times New Roman"/>
          <w:b/>
          <w:bCs/>
          <w:sz w:val="20"/>
          <w:szCs w:val="20"/>
          <w:rtl/>
        </w:rPr>
        <w:t>للمتهم الحقوق وال</w:t>
      </w:r>
      <w:r w:rsidRPr="00993DC7">
        <w:rPr>
          <w:rFonts w:ascii="Times New Roman" w:hAnsi="Times New Roman" w:cs="Times New Roman" w:hint="cs"/>
          <w:b/>
          <w:bCs/>
          <w:sz w:val="20"/>
          <w:szCs w:val="20"/>
          <w:rtl/>
        </w:rPr>
        <w:t>واجبات</w:t>
      </w:r>
      <w:r w:rsidRPr="00993DC7">
        <w:rPr>
          <w:rFonts w:ascii="Times New Roman" w:hAnsi="Times New Roman" w:cs="Times New Roman"/>
          <w:b/>
          <w:bCs/>
          <w:sz w:val="20"/>
          <w:szCs w:val="20"/>
          <w:rtl/>
        </w:rPr>
        <w:t xml:space="preserve"> التالية:</w:t>
      </w:r>
    </w:p>
    <w:p w14:paraId="72A04F3C"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1. الحق في تقديم توضيحات، أو رفض تقديمها، أو رفض الإجابة على أسئلة محددة، دون الحاجة إلى ذكر سبب الرفض (المادة 175، الفقرة 1)</w:t>
      </w:r>
      <w:r w:rsidRPr="00993DC7">
        <w:rPr>
          <w:rFonts w:ascii="Times New Roman" w:hAnsi="Times New Roman" w:cs="Times New Roman" w:hint="cs"/>
          <w:sz w:val="20"/>
          <w:szCs w:val="20"/>
          <w:vertAlign w:val="superscript"/>
          <w:rtl/>
        </w:rPr>
        <w:t>2</w:t>
      </w:r>
      <w:r w:rsidRPr="00993DC7">
        <w:rPr>
          <w:rFonts w:ascii="Times New Roman" w:hAnsi="Times New Roman" w:cs="Times New Roman" w:hint="cs"/>
          <w:sz w:val="20"/>
          <w:szCs w:val="20"/>
          <w:rtl/>
        </w:rPr>
        <w:t>)</w:t>
      </w:r>
      <w:r w:rsidRPr="00993DC7">
        <w:rPr>
          <w:rFonts w:ascii="Times New Roman" w:hAnsi="Times New Roman" w:cs="Times New Roman"/>
          <w:sz w:val="20"/>
          <w:szCs w:val="20"/>
          <w:rtl/>
        </w:rPr>
        <w:t>.</w:t>
      </w:r>
    </w:p>
    <w:p w14:paraId="0B0C96ED"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2. الحق في الاستعانة بمحامٍ</w:t>
      </w:r>
      <w:r w:rsidRPr="00993DC7">
        <w:rPr>
          <w:rFonts w:ascii="Times New Roman" w:hAnsi="Times New Roman" w:cs="Times New Roman" w:hint="cs"/>
          <w:sz w:val="20"/>
          <w:szCs w:val="20"/>
          <w:rtl/>
        </w:rPr>
        <w:t xml:space="preserve"> للدفاع</w:t>
      </w:r>
      <w:r w:rsidRPr="00993DC7">
        <w:rPr>
          <w:rFonts w:ascii="Times New Roman" w:hAnsi="Times New Roman" w:cs="Times New Roman"/>
          <w:sz w:val="20"/>
          <w:szCs w:val="20"/>
          <w:rtl/>
        </w:rPr>
        <w:t xml:space="preserve"> من اختياره. إذا أثبت المتهم عدم قدرته على تحمل تكاليف توكيل محامٍ</w:t>
      </w:r>
      <w:r w:rsidRPr="00993DC7">
        <w:rPr>
          <w:rFonts w:ascii="Times New Roman" w:hAnsi="Times New Roman" w:cs="Times New Roman" w:hint="cs"/>
          <w:sz w:val="20"/>
          <w:szCs w:val="20"/>
          <w:rtl/>
        </w:rPr>
        <w:t xml:space="preserve"> للدفاع</w:t>
      </w:r>
      <w:r w:rsidRPr="00993DC7">
        <w:rPr>
          <w:rFonts w:ascii="Times New Roman" w:hAnsi="Times New Roman" w:cs="Times New Roman"/>
          <w:sz w:val="20"/>
          <w:szCs w:val="20"/>
          <w:rtl/>
        </w:rPr>
        <w:t xml:space="preserve"> من اختياره دون المساس بال</w:t>
      </w:r>
      <w:r w:rsidRPr="00993DC7">
        <w:rPr>
          <w:rFonts w:ascii="Times New Roman" w:hAnsi="Times New Roman" w:cs="Times New Roman" w:hint="cs"/>
          <w:sz w:val="20"/>
          <w:szCs w:val="20"/>
          <w:rtl/>
        </w:rPr>
        <w:t>إعالة</w:t>
      </w:r>
      <w:r w:rsidRPr="00993DC7">
        <w:rPr>
          <w:rFonts w:ascii="Times New Roman" w:hAnsi="Times New Roman" w:cs="Times New Roman"/>
          <w:sz w:val="20"/>
          <w:szCs w:val="20"/>
          <w:rtl/>
        </w:rPr>
        <w:t xml:space="preserve"> اللازم</w:t>
      </w:r>
      <w:r w:rsidRPr="00993DC7">
        <w:rPr>
          <w:rFonts w:ascii="Times New Roman" w:hAnsi="Times New Roman" w:cs="Times New Roman" w:hint="cs"/>
          <w:sz w:val="20"/>
          <w:szCs w:val="20"/>
          <w:rtl/>
        </w:rPr>
        <w:t>ة</w:t>
      </w:r>
      <w:r w:rsidRPr="00993DC7">
        <w:rPr>
          <w:rFonts w:ascii="Times New Roman" w:hAnsi="Times New Roman" w:cs="Times New Roman"/>
          <w:sz w:val="20"/>
          <w:szCs w:val="20"/>
          <w:rtl/>
        </w:rPr>
        <w:t xml:space="preserve"> له ولأسرته، يجوز للمحكمة تعيين محامٍ</w:t>
      </w:r>
      <w:r w:rsidRPr="00993DC7">
        <w:rPr>
          <w:rFonts w:ascii="Times New Roman" w:hAnsi="Times New Roman" w:cs="Times New Roman" w:hint="cs"/>
          <w:sz w:val="20"/>
          <w:szCs w:val="20"/>
          <w:rtl/>
        </w:rPr>
        <w:t xml:space="preserve"> </w:t>
      </w:r>
      <w:r w:rsidRPr="00993DC7">
        <w:rPr>
          <w:rFonts w:ascii="Times New Roman" w:hAnsi="Times New Roman" w:cs="Times New Roman"/>
          <w:sz w:val="20"/>
          <w:szCs w:val="20"/>
          <w:rtl/>
        </w:rPr>
        <w:t>عام</w:t>
      </w:r>
      <w:r w:rsidRPr="00993DC7">
        <w:rPr>
          <w:rFonts w:ascii="Times New Roman" w:hAnsi="Times New Roman" w:cs="Times New Roman" w:hint="cs"/>
          <w:sz w:val="20"/>
          <w:szCs w:val="20"/>
          <w:rtl/>
        </w:rPr>
        <w:t xml:space="preserve"> للدفاع عنه</w:t>
      </w:r>
      <w:r w:rsidRPr="00993DC7">
        <w:rPr>
          <w:rFonts w:ascii="Times New Roman" w:hAnsi="Times New Roman" w:cs="Times New Roman"/>
          <w:sz w:val="20"/>
          <w:szCs w:val="20"/>
          <w:rtl/>
        </w:rPr>
        <w:t>. يجب تقديم طلب تعيين محامٍ عام</w:t>
      </w:r>
      <w:r w:rsidRPr="00993DC7">
        <w:rPr>
          <w:rFonts w:ascii="Times New Roman" w:hAnsi="Times New Roman" w:cs="Times New Roman" w:hint="cs"/>
          <w:sz w:val="20"/>
          <w:szCs w:val="20"/>
          <w:rtl/>
        </w:rPr>
        <w:t xml:space="preserve"> للدفاع</w:t>
      </w:r>
      <w:r w:rsidRPr="00993DC7">
        <w:rPr>
          <w:rFonts w:ascii="Times New Roman" w:hAnsi="Times New Roman" w:cs="Times New Roman"/>
          <w:sz w:val="20"/>
          <w:szCs w:val="20"/>
          <w:rtl/>
        </w:rPr>
        <w:t xml:space="preserve"> إلى المحكمة في غضون سبعة أيام من تأريخ تبليغ لائحة الاتهام. ويجب أن يكون الطلب مصحوبًا بأدلة تثبت عدم قدرة المتهم على تحمل تكاليف الدفاع دون المساس بال</w:t>
      </w:r>
      <w:r w:rsidRPr="00993DC7">
        <w:rPr>
          <w:rFonts w:ascii="Times New Roman" w:hAnsi="Times New Roman" w:cs="Times New Roman" w:hint="cs"/>
          <w:sz w:val="20"/>
          <w:szCs w:val="20"/>
          <w:rtl/>
        </w:rPr>
        <w:t>إعالة</w:t>
      </w:r>
      <w:r w:rsidRPr="00993DC7">
        <w:rPr>
          <w:rFonts w:ascii="Times New Roman" w:hAnsi="Times New Roman" w:cs="Times New Roman"/>
          <w:sz w:val="20"/>
          <w:szCs w:val="20"/>
          <w:rtl/>
        </w:rPr>
        <w:t xml:space="preserve"> اللازم</w:t>
      </w:r>
      <w:r w:rsidRPr="00993DC7">
        <w:rPr>
          <w:rFonts w:ascii="Times New Roman" w:hAnsi="Times New Roman" w:cs="Times New Roman" w:hint="cs"/>
          <w:sz w:val="20"/>
          <w:szCs w:val="20"/>
          <w:rtl/>
        </w:rPr>
        <w:t>ة</w:t>
      </w:r>
      <w:r w:rsidRPr="00993DC7">
        <w:rPr>
          <w:rFonts w:ascii="Times New Roman" w:hAnsi="Times New Roman" w:cs="Times New Roman"/>
          <w:sz w:val="20"/>
          <w:szCs w:val="20"/>
          <w:rtl/>
        </w:rPr>
        <w:t xml:space="preserve"> له ولأسرته. </w:t>
      </w:r>
      <w:r w:rsidRPr="00993DC7">
        <w:rPr>
          <w:rFonts w:ascii="Times New Roman" w:hAnsi="Times New Roman" w:cs="Times New Roman" w:hint="cs"/>
          <w:sz w:val="20"/>
          <w:szCs w:val="20"/>
          <w:rtl/>
        </w:rPr>
        <w:t>و</w:t>
      </w:r>
      <w:r w:rsidRPr="00993DC7">
        <w:rPr>
          <w:rFonts w:ascii="Times New Roman" w:hAnsi="Times New Roman" w:cs="Times New Roman"/>
          <w:sz w:val="20"/>
          <w:szCs w:val="20"/>
          <w:rtl/>
        </w:rPr>
        <w:t>إذا كان تقديم الطلب بعد الموعد النهائي يستلزم تغيير موعد جلسة</w:t>
      </w:r>
      <w:r w:rsidRPr="00993DC7">
        <w:rPr>
          <w:rFonts w:ascii="Times New Roman" w:hAnsi="Times New Roman" w:cs="Times New Roman" w:hint="cs"/>
          <w:sz w:val="20"/>
          <w:szCs w:val="20"/>
          <w:rtl/>
        </w:rPr>
        <w:t xml:space="preserve"> المحاكمة</w:t>
      </w:r>
      <w:r w:rsidRPr="00993DC7">
        <w:rPr>
          <w:rFonts w:ascii="Times New Roman" w:hAnsi="Times New Roman" w:cs="Times New Roman"/>
          <w:sz w:val="20"/>
          <w:szCs w:val="20"/>
          <w:rtl/>
        </w:rPr>
        <w:t xml:space="preserve"> أو جلسة </w:t>
      </w:r>
      <w:r w:rsidRPr="00993DC7">
        <w:rPr>
          <w:rFonts w:ascii="Times New Roman" w:hAnsi="Times New Roman" w:cs="Times New Roman" w:hint="cs"/>
          <w:sz w:val="20"/>
          <w:szCs w:val="20"/>
          <w:rtl/>
        </w:rPr>
        <w:t xml:space="preserve">الاستماع </w:t>
      </w:r>
      <w:r w:rsidRPr="00993DC7">
        <w:rPr>
          <w:rFonts w:ascii="Times New Roman" w:hAnsi="Times New Roman" w:cs="Times New Roman"/>
          <w:sz w:val="20"/>
          <w:szCs w:val="20"/>
          <w:rtl/>
        </w:rPr>
        <w:t>بشأن وقف الإجراءات بشروط، أو طلب إدانة دون جلسة</w:t>
      </w:r>
      <w:r w:rsidRPr="00993DC7">
        <w:rPr>
          <w:rFonts w:ascii="Times New Roman" w:hAnsi="Times New Roman" w:cs="Times New Roman" w:hint="cs"/>
          <w:sz w:val="20"/>
          <w:szCs w:val="20"/>
          <w:rtl/>
        </w:rPr>
        <w:t xml:space="preserve"> المحاكمة</w:t>
      </w:r>
      <w:r w:rsidRPr="00993DC7">
        <w:rPr>
          <w:rFonts w:ascii="Times New Roman" w:hAnsi="Times New Roman" w:cs="Times New Roman"/>
          <w:sz w:val="20"/>
          <w:szCs w:val="20"/>
          <w:rtl/>
        </w:rPr>
        <w:t>، فسيتم النظر في الطلب فور انتهاء جلسة</w:t>
      </w:r>
      <w:r w:rsidRPr="00993DC7">
        <w:rPr>
          <w:rFonts w:ascii="Times New Roman" w:hAnsi="Times New Roman" w:cs="Times New Roman" w:hint="cs"/>
          <w:sz w:val="20"/>
          <w:szCs w:val="20"/>
          <w:rtl/>
        </w:rPr>
        <w:t xml:space="preserve"> المحاكمة أو جلسة الاستماع</w:t>
      </w:r>
      <w:r w:rsidRPr="00993DC7">
        <w:rPr>
          <w:rFonts w:ascii="Times New Roman" w:hAnsi="Times New Roman" w:cs="Times New Roman"/>
          <w:sz w:val="20"/>
          <w:szCs w:val="20"/>
          <w:rtl/>
        </w:rPr>
        <w:t>. وينطبق هذا أيضًا على الحالات التي قُدِّم فيها الطلب في الوقت المحدد ولكنه لا يستوفي الشروط الشكلية أو لا يتضمن أدلة تُثبت عدم قدرة المتهم على تحمل تكاليف الدفاع دون الإضرار بمعيشته ومعيشة أسرته. بعد جلسة</w:t>
      </w:r>
      <w:r w:rsidRPr="00993DC7">
        <w:rPr>
          <w:rFonts w:ascii="Times New Roman" w:hAnsi="Times New Roman" w:cs="Times New Roman" w:hint="cs"/>
          <w:sz w:val="20"/>
          <w:szCs w:val="20"/>
          <w:rtl/>
        </w:rPr>
        <w:t xml:space="preserve"> المحاكمة</w:t>
      </w:r>
      <w:r w:rsidRPr="00993DC7">
        <w:rPr>
          <w:rFonts w:ascii="Times New Roman" w:hAnsi="Times New Roman" w:cs="Times New Roman"/>
          <w:sz w:val="20"/>
          <w:szCs w:val="20"/>
          <w:rtl/>
        </w:rPr>
        <w:t xml:space="preserve"> الأولى أو الجلس</w:t>
      </w:r>
      <w:r w:rsidRPr="00993DC7">
        <w:rPr>
          <w:rFonts w:ascii="Times New Roman" w:hAnsi="Times New Roman" w:cs="Times New Roman" w:hint="cs"/>
          <w:sz w:val="20"/>
          <w:szCs w:val="20"/>
          <w:rtl/>
        </w:rPr>
        <w:t>ات</w:t>
      </w:r>
      <w:r w:rsidRPr="00993DC7">
        <w:rPr>
          <w:rFonts w:ascii="Times New Roman" w:hAnsi="Times New Roman" w:cs="Times New Roman"/>
          <w:sz w:val="20"/>
          <w:szCs w:val="20"/>
          <w:rtl/>
        </w:rPr>
        <w:t xml:space="preserve"> المح</w:t>
      </w:r>
      <w:r w:rsidRPr="00993DC7">
        <w:rPr>
          <w:rFonts w:ascii="Times New Roman" w:hAnsi="Times New Roman" w:cs="Times New Roman" w:hint="cs"/>
          <w:sz w:val="20"/>
          <w:szCs w:val="20"/>
          <w:rtl/>
        </w:rPr>
        <w:t>د</w:t>
      </w:r>
      <w:r w:rsidRPr="00993DC7">
        <w:rPr>
          <w:rFonts w:ascii="Times New Roman" w:hAnsi="Times New Roman" w:cs="Times New Roman"/>
          <w:sz w:val="20"/>
          <w:szCs w:val="20"/>
          <w:rtl/>
        </w:rPr>
        <w:t>دة، يجب تقديم طلب تعيين محامٍ عام</w:t>
      </w:r>
      <w:r w:rsidRPr="00993DC7">
        <w:rPr>
          <w:rFonts w:ascii="Times New Roman" w:hAnsi="Times New Roman" w:cs="Times New Roman" w:hint="cs"/>
          <w:sz w:val="20"/>
          <w:szCs w:val="20"/>
          <w:rtl/>
        </w:rPr>
        <w:t xml:space="preserve"> للدفاع</w:t>
      </w:r>
      <w:r w:rsidRPr="00993DC7">
        <w:rPr>
          <w:rFonts w:ascii="Times New Roman" w:hAnsi="Times New Roman" w:cs="Times New Roman"/>
          <w:sz w:val="20"/>
          <w:szCs w:val="20"/>
          <w:rtl/>
        </w:rPr>
        <w:t xml:space="preserve"> إلى المحكمة في غضون فترة زمنية لا تستلزم تغيير موعد جلسة</w:t>
      </w:r>
      <w:r w:rsidRPr="00993DC7">
        <w:rPr>
          <w:rFonts w:ascii="Times New Roman" w:hAnsi="Times New Roman" w:cs="Times New Roman" w:hint="cs"/>
          <w:sz w:val="20"/>
          <w:szCs w:val="20"/>
          <w:rtl/>
        </w:rPr>
        <w:t xml:space="preserve"> المحاكمة أو جلسة الاستماع</w:t>
      </w:r>
      <w:r w:rsidRPr="00993DC7">
        <w:rPr>
          <w:rFonts w:ascii="Times New Roman" w:hAnsi="Times New Roman" w:cs="Times New Roman"/>
          <w:sz w:val="20"/>
          <w:szCs w:val="20"/>
          <w:rtl/>
        </w:rPr>
        <w:t xml:space="preserve"> التالية. وبناءً على نتيجة المحاكمة، قد يُحمَّل المتهم تكاليف تعيين محامٍ عام</w:t>
      </w:r>
      <w:r w:rsidRPr="00993DC7">
        <w:rPr>
          <w:rFonts w:ascii="Times New Roman" w:hAnsi="Times New Roman" w:cs="Times New Roman" w:hint="cs"/>
          <w:sz w:val="20"/>
          <w:szCs w:val="20"/>
          <w:rtl/>
        </w:rPr>
        <w:t xml:space="preserve"> للدفاع</w:t>
      </w:r>
      <w:r w:rsidRPr="00993DC7">
        <w:rPr>
          <w:rFonts w:ascii="Times New Roman" w:hAnsi="Times New Roman" w:cs="Times New Roman"/>
          <w:sz w:val="20"/>
          <w:szCs w:val="20"/>
          <w:rtl/>
        </w:rPr>
        <w:t xml:space="preserve">. يُلزم المتهم الذي لا يملك محاميًا من اختياره بتعيين محامٍ عام </w:t>
      </w:r>
      <w:r w:rsidRPr="00993DC7">
        <w:rPr>
          <w:rFonts w:ascii="Times New Roman" w:hAnsi="Times New Roman" w:cs="Times New Roman" w:hint="cs"/>
          <w:sz w:val="20"/>
          <w:szCs w:val="20"/>
          <w:rtl/>
        </w:rPr>
        <w:t xml:space="preserve">للدفاع </w:t>
      </w:r>
      <w:r w:rsidRPr="00993DC7">
        <w:rPr>
          <w:rFonts w:ascii="Times New Roman" w:hAnsi="Times New Roman" w:cs="Times New Roman"/>
          <w:sz w:val="20"/>
          <w:szCs w:val="20"/>
          <w:rtl/>
        </w:rPr>
        <w:t xml:space="preserve">في الحالات التالية: إذا كان عمره أقل من 18 عامًا؛ إذا كان أصمًا أو أبكمًا أو كفيفًا؛ إذا كان هناك شك معقول في قدرة المتهم على إدراك خطورة الفعل أو السيطرة على سلوكه، سواءً كانت هذه القدرة مختلة أو </w:t>
      </w:r>
      <w:r w:rsidRPr="00993DC7">
        <w:rPr>
          <w:rFonts w:ascii="Times New Roman" w:hAnsi="Times New Roman" w:cs="Times New Roman" w:hint="cs"/>
          <w:sz w:val="20"/>
          <w:szCs w:val="20"/>
          <w:rtl/>
        </w:rPr>
        <w:t>محدودة</w:t>
      </w:r>
      <w:r w:rsidRPr="00993DC7">
        <w:rPr>
          <w:rFonts w:ascii="Times New Roman" w:hAnsi="Times New Roman" w:cs="Times New Roman"/>
          <w:sz w:val="20"/>
          <w:szCs w:val="20"/>
          <w:rtl/>
        </w:rPr>
        <w:t xml:space="preserve"> بشكل كبير وقت ارتكاب الفعل</w:t>
      </w:r>
      <w:r w:rsidRPr="00993DC7">
        <w:rPr>
          <w:rFonts w:ascii="Times New Roman" w:hAnsi="Times New Roman" w:cs="Times New Roman" w:hint="cs"/>
          <w:sz w:val="20"/>
          <w:szCs w:val="20"/>
          <w:rtl/>
        </w:rPr>
        <w:t>، أو</w:t>
      </w:r>
      <w:r w:rsidRPr="00993DC7">
        <w:rPr>
          <w:rFonts w:ascii="Times New Roman" w:hAnsi="Times New Roman" w:cs="Times New Roman"/>
          <w:sz w:val="20"/>
          <w:szCs w:val="20"/>
          <w:rtl/>
        </w:rPr>
        <w:t xml:space="preserve"> إذا كان هناك شك معقول في قدرة المتهم على المشاركة في الإجراءات أو الدفاع عن نفسه بشكل مستقل ومعقول</w:t>
      </w:r>
      <w:r w:rsidRPr="00993DC7">
        <w:rPr>
          <w:rFonts w:ascii="Times New Roman" w:hAnsi="Times New Roman" w:cs="Times New Roman" w:hint="cs"/>
          <w:sz w:val="20"/>
          <w:szCs w:val="20"/>
          <w:rtl/>
        </w:rPr>
        <w:t xml:space="preserve">. كذلك </w:t>
      </w:r>
      <w:r w:rsidRPr="00993DC7">
        <w:rPr>
          <w:rFonts w:ascii="Times New Roman" w:hAnsi="Times New Roman" w:cs="Times New Roman"/>
          <w:sz w:val="20"/>
          <w:szCs w:val="20"/>
          <w:rtl/>
        </w:rPr>
        <w:t>يجب أن يكون لديه محامٍ للدفاع عنه إذا رأت المحكمة ضرورة لذلك بسبب ظروف أخرى تعيق دفاعه، وفي الإجراءات أمام المحكمة ال</w:t>
      </w:r>
      <w:r w:rsidRPr="00993DC7">
        <w:rPr>
          <w:rFonts w:ascii="Times New Roman" w:hAnsi="Times New Roman" w:cs="Times New Roman" w:hint="cs"/>
          <w:sz w:val="20"/>
          <w:szCs w:val="20"/>
          <w:rtl/>
        </w:rPr>
        <w:t>دائرية</w:t>
      </w:r>
      <w:r w:rsidRPr="00993DC7">
        <w:rPr>
          <w:rFonts w:ascii="Times New Roman" w:hAnsi="Times New Roman" w:cs="Times New Roman"/>
          <w:sz w:val="20"/>
          <w:szCs w:val="20"/>
          <w:rtl/>
        </w:rPr>
        <w:t xml:space="preserve"> إذا اتُهم بجريمة (المادة 6، المادة 78، الفقرة 1، المادة 79، الفقرتان 1 و2، المادة 80، الجملة الأولى، المادة 81، الفقرة 1، المادة 338، الفقرة 1</w:t>
      </w:r>
      <w:r w:rsidRPr="00993DC7">
        <w:rPr>
          <w:rFonts w:ascii="Times New Roman" w:hAnsi="Times New Roman" w:cs="Times New Roman" w:hint="cs"/>
          <w:sz w:val="20"/>
          <w:szCs w:val="20"/>
          <w:rtl/>
        </w:rPr>
        <w:t>"</w:t>
      </w:r>
      <w:r w:rsidRPr="00993DC7">
        <w:rPr>
          <w:rFonts w:ascii="Times New Roman" w:hAnsi="Times New Roman" w:cs="Times New Roman"/>
          <w:sz w:val="20"/>
          <w:szCs w:val="20"/>
          <w:rtl/>
        </w:rPr>
        <w:t>أ</w:t>
      </w:r>
      <w:r w:rsidRPr="00993DC7">
        <w:rPr>
          <w:rFonts w:ascii="Times New Roman" w:hAnsi="Times New Roman" w:cs="Times New Roman" w:hint="cs"/>
          <w:sz w:val="20"/>
          <w:szCs w:val="20"/>
          <w:rtl/>
        </w:rPr>
        <w:t>"</w:t>
      </w:r>
      <w:r w:rsidRPr="00993DC7">
        <w:rPr>
          <w:rFonts w:ascii="Times New Roman" w:hAnsi="Times New Roman" w:cs="Times New Roman"/>
          <w:sz w:val="20"/>
          <w:szCs w:val="20"/>
          <w:rtl/>
        </w:rPr>
        <w:t>، المادة 338</w:t>
      </w:r>
      <w:r w:rsidRPr="00993DC7">
        <w:rPr>
          <w:rFonts w:ascii="Times New Roman" w:hAnsi="Times New Roman" w:cs="Times New Roman" w:hint="cs"/>
          <w:sz w:val="20"/>
          <w:szCs w:val="20"/>
          <w:rtl/>
        </w:rPr>
        <w:t>"</w:t>
      </w:r>
      <w:r w:rsidRPr="00993DC7">
        <w:rPr>
          <w:rFonts w:ascii="Times New Roman" w:hAnsi="Times New Roman" w:cs="Times New Roman"/>
          <w:sz w:val="20"/>
          <w:szCs w:val="20"/>
          <w:rtl/>
        </w:rPr>
        <w:t>ب</w:t>
      </w:r>
      <w:r w:rsidRPr="00993DC7">
        <w:rPr>
          <w:rFonts w:ascii="Times New Roman" w:hAnsi="Times New Roman" w:cs="Times New Roman" w:hint="cs"/>
          <w:sz w:val="20"/>
          <w:szCs w:val="20"/>
          <w:rtl/>
        </w:rPr>
        <w:t>"</w:t>
      </w:r>
      <w:r w:rsidRPr="00993DC7">
        <w:rPr>
          <w:rFonts w:ascii="Times New Roman" w:hAnsi="Times New Roman" w:cs="Times New Roman"/>
          <w:sz w:val="20"/>
          <w:szCs w:val="20"/>
          <w:rtl/>
        </w:rPr>
        <w:t>).</w:t>
      </w:r>
    </w:p>
    <w:p w14:paraId="7D06CBC0"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3. الحق في تقديم رد كتابي على لائحة الاتهام. يحق للمتهم تقديم هذا الرد خلال 7 أيام من تأريخ تبليغه بلائحة الاتهام (المادة 338، الفقرة 2).</w:t>
      </w:r>
    </w:p>
    <w:p w14:paraId="08C373CC"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4. الحق في المشاركة في جلسة الاستماع المتعلقة بالوقف المشروط للإجراءات إذا لم يكن المتهم ملزمًا بالحضور</w:t>
      </w:r>
      <w:r w:rsidRPr="00993DC7">
        <w:rPr>
          <w:rFonts w:ascii="Times New Roman" w:hAnsi="Times New Roman" w:cs="Times New Roman" w:hint="cs"/>
          <w:sz w:val="20"/>
          <w:szCs w:val="20"/>
          <w:rtl/>
        </w:rPr>
        <w:t xml:space="preserve"> في هذه الجلسة</w:t>
      </w:r>
      <w:r w:rsidRPr="00993DC7">
        <w:rPr>
          <w:rFonts w:ascii="Times New Roman" w:hAnsi="Times New Roman" w:cs="Times New Roman"/>
          <w:sz w:val="20"/>
          <w:szCs w:val="20"/>
          <w:rtl/>
        </w:rPr>
        <w:t xml:space="preserve"> (المادة 341، الفقرة 1).</w:t>
      </w:r>
    </w:p>
    <w:p w14:paraId="4D3E1414"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5. الحق في تقديم طلب لل</w:t>
      </w:r>
      <w:r w:rsidRPr="00993DC7">
        <w:rPr>
          <w:rFonts w:ascii="Times New Roman" w:hAnsi="Times New Roman" w:cs="Times New Roman" w:hint="cs"/>
          <w:sz w:val="20"/>
          <w:szCs w:val="20"/>
          <w:rtl/>
        </w:rPr>
        <w:t>إحضار</w:t>
      </w:r>
      <w:r w:rsidRPr="00993DC7">
        <w:rPr>
          <w:rFonts w:ascii="Times New Roman" w:hAnsi="Times New Roman" w:cs="Times New Roman"/>
          <w:sz w:val="20"/>
          <w:szCs w:val="20"/>
          <w:rtl/>
        </w:rPr>
        <w:t xml:space="preserve"> </w:t>
      </w:r>
      <w:r w:rsidRPr="00993DC7">
        <w:rPr>
          <w:rFonts w:ascii="Times New Roman" w:hAnsi="Times New Roman" w:cs="Times New Roman" w:hint="cs"/>
          <w:sz w:val="20"/>
          <w:szCs w:val="20"/>
          <w:rtl/>
        </w:rPr>
        <w:t>ل</w:t>
      </w:r>
      <w:r w:rsidRPr="00993DC7">
        <w:rPr>
          <w:rFonts w:ascii="Times New Roman" w:hAnsi="Times New Roman" w:cs="Times New Roman"/>
          <w:sz w:val="20"/>
          <w:szCs w:val="20"/>
          <w:rtl/>
        </w:rPr>
        <w:t>لمحكمة إذا كان المتهم محرومًا من حريته ولم يكن حضوره في الجلسة إلزاميًا. يجب تقديم الطلب في غضون سبعة أيام من تأريخ تبليغه بالإخطار (المادة 353، الفقرة 3).</w:t>
      </w:r>
    </w:p>
    <w:p w14:paraId="61951B3B"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6. الحق في تقديم طلب للإدانة وفرض عقوبة محددة أو إجراء عقابي، أو</w:t>
      </w:r>
      <w:r w:rsidRPr="00993DC7">
        <w:rPr>
          <w:rFonts w:ascii="Times New Roman" w:hAnsi="Times New Roman" w:cs="Times New Roman" w:hint="cs"/>
          <w:sz w:val="20"/>
          <w:szCs w:val="20"/>
          <w:rtl/>
        </w:rPr>
        <w:t xml:space="preserve"> القضاء</w:t>
      </w:r>
      <w:r w:rsidRPr="00993DC7">
        <w:rPr>
          <w:rFonts w:ascii="Times New Roman" w:hAnsi="Times New Roman" w:cs="Times New Roman"/>
          <w:sz w:val="20"/>
          <w:szCs w:val="20"/>
          <w:rtl/>
        </w:rPr>
        <w:t xml:space="preserve"> </w:t>
      </w:r>
      <w:r w:rsidRPr="00993DC7">
        <w:rPr>
          <w:rFonts w:ascii="Times New Roman" w:hAnsi="Times New Roman" w:cs="Times New Roman" w:hint="cs"/>
          <w:sz w:val="20"/>
          <w:szCs w:val="20"/>
          <w:rtl/>
        </w:rPr>
        <w:t>ب</w:t>
      </w:r>
      <w:r w:rsidRPr="00993DC7">
        <w:rPr>
          <w:rFonts w:ascii="Times New Roman" w:hAnsi="Times New Roman" w:cs="Times New Roman"/>
          <w:sz w:val="20"/>
          <w:szCs w:val="20"/>
          <w:rtl/>
        </w:rPr>
        <w:t xml:space="preserve">مصادرة، أو تعويض، دون </w:t>
      </w:r>
      <w:r w:rsidRPr="00993DC7">
        <w:rPr>
          <w:rFonts w:ascii="Times New Roman" w:hAnsi="Times New Roman" w:cs="Times New Roman" w:hint="cs"/>
          <w:sz w:val="20"/>
          <w:szCs w:val="20"/>
          <w:rtl/>
        </w:rPr>
        <w:t>إجراءات إثباتية</w:t>
      </w:r>
      <w:r w:rsidRPr="00993DC7">
        <w:rPr>
          <w:rFonts w:ascii="Times New Roman" w:hAnsi="Times New Roman" w:cs="Times New Roman"/>
          <w:sz w:val="20"/>
          <w:szCs w:val="20"/>
          <w:rtl/>
        </w:rPr>
        <w:t xml:space="preserve"> للأدلة أو قرار محدد بشأن دفع رسوم المحكمة. يجوز للمتهم ممارسة هذا الحق قبل تبليغه بموعد الجلسة (المادة 338</w:t>
      </w:r>
      <w:r w:rsidRPr="00993DC7">
        <w:rPr>
          <w:rFonts w:ascii="Times New Roman" w:hAnsi="Times New Roman" w:cs="Times New Roman" w:hint="cs"/>
          <w:sz w:val="20"/>
          <w:szCs w:val="20"/>
          <w:rtl/>
        </w:rPr>
        <w:t>"</w:t>
      </w:r>
      <w:r w:rsidRPr="00993DC7">
        <w:rPr>
          <w:rFonts w:ascii="Times New Roman" w:hAnsi="Times New Roman" w:cs="Times New Roman"/>
          <w:sz w:val="20"/>
          <w:szCs w:val="20"/>
          <w:rtl/>
        </w:rPr>
        <w:t>أ</w:t>
      </w:r>
      <w:r w:rsidRPr="00993DC7">
        <w:rPr>
          <w:rFonts w:ascii="Times New Roman" w:hAnsi="Times New Roman" w:cs="Times New Roman" w:hint="cs"/>
          <w:sz w:val="20"/>
          <w:szCs w:val="20"/>
          <w:rtl/>
        </w:rPr>
        <w:t>"</w:t>
      </w:r>
      <w:r w:rsidRPr="00993DC7">
        <w:rPr>
          <w:rFonts w:ascii="Times New Roman" w:hAnsi="Times New Roman" w:cs="Times New Roman"/>
          <w:sz w:val="20"/>
          <w:szCs w:val="20"/>
          <w:rtl/>
        </w:rPr>
        <w:t>).</w:t>
      </w:r>
    </w:p>
    <w:p w14:paraId="304289B7"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7. الحق في المشاركة في الجلسة إذا لم تعتبر المحكمة حضور المتهم إلزاميًا. في قضايا الج</w:t>
      </w:r>
      <w:r w:rsidRPr="00993DC7">
        <w:rPr>
          <w:rFonts w:ascii="Times New Roman" w:hAnsi="Times New Roman" w:cs="Times New Roman" w:hint="cs"/>
          <w:sz w:val="20"/>
          <w:szCs w:val="20"/>
          <w:rtl/>
        </w:rPr>
        <w:t>رائم</w:t>
      </w:r>
      <w:r w:rsidRPr="00993DC7">
        <w:rPr>
          <w:rFonts w:ascii="Times New Roman" w:hAnsi="Times New Roman" w:cs="Times New Roman"/>
          <w:sz w:val="20"/>
          <w:szCs w:val="20"/>
          <w:rtl/>
        </w:rPr>
        <w:t>، يجب أن يكون المتهم حاضرًا أثناء عرض التهم، والرد على لائحة الاتهام، إن وُجدت، وتلقي التعليمات بشأن حقوقه وواجباته، واستجوابه بشأن اعترافه بالجريمة المنسوبة إليه</w:t>
      </w:r>
      <w:r w:rsidRPr="00993DC7">
        <w:rPr>
          <w:rFonts w:ascii="Times New Roman" w:hAnsi="Times New Roman" w:cs="Times New Roman" w:hint="cs"/>
          <w:sz w:val="20"/>
          <w:szCs w:val="20"/>
          <w:rtl/>
        </w:rPr>
        <w:t xml:space="preserve"> من عدمه</w:t>
      </w:r>
      <w:r w:rsidRPr="00993DC7">
        <w:rPr>
          <w:rFonts w:ascii="Times New Roman" w:hAnsi="Times New Roman" w:cs="Times New Roman"/>
          <w:sz w:val="20"/>
          <w:szCs w:val="20"/>
          <w:rtl/>
        </w:rPr>
        <w:t xml:space="preserve">. </w:t>
      </w:r>
      <w:r w:rsidRPr="00993DC7">
        <w:rPr>
          <w:rFonts w:ascii="Times New Roman" w:hAnsi="Times New Roman" w:cs="Times New Roman" w:hint="cs"/>
          <w:sz w:val="20"/>
          <w:szCs w:val="20"/>
          <w:rtl/>
        </w:rPr>
        <w:t>و</w:t>
      </w:r>
      <w:r w:rsidRPr="00993DC7">
        <w:rPr>
          <w:rFonts w:ascii="Times New Roman" w:hAnsi="Times New Roman" w:cs="Times New Roman"/>
          <w:sz w:val="20"/>
          <w:szCs w:val="20"/>
          <w:rtl/>
        </w:rPr>
        <w:t>يجوز للقاضي</w:t>
      </w:r>
      <w:r w:rsidRPr="00993DC7">
        <w:rPr>
          <w:rFonts w:ascii="Times New Roman" w:hAnsi="Times New Roman" w:cs="Times New Roman" w:hint="cs"/>
          <w:sz w:val="20"/>
          <w:szCs w:val="20"/>
          <w:rtl/>
        </w:rPr>
        <w:t xml:space="preserve"> رئيس الجلسة</w:t>
      </w:r>
      <w:r w:rsidRPr="00993DC7">
        <w:rPr>
          <w:rFonts w:ascii="Times New Roman" w:hAnsi="Times New Roman" w:cs="Times New Roman"/>
          <w:sz w:val="20"/>
          <w:szCs w:val="20"/>
          <w:rtl/>
        </w:rPr>
        <w:t xml:space="preserve"> إصدار أمر بمنع المتهم من مغادرة المحكمة قبل انتهاء الجلسة (المادة 374). لا تُعقد جلسة </w:t>
      </w:r>
      <w:r w:rsidRPr="00993DC7">
        <w:rPr>
          <w:rFonts w:ascii="Times New Roman" w:hAnsi="Times New Roman" w:cs="Times New Roman" w:hint="cs"/>
          <w:sz w:val="20"/>
          <w:szCs w:val="20"/>
          <w:rtl/>
        </w:rPr>
        <w:t>المحاكمة</w:t>
      </w:r>
      <w:r w:rsidRPr="00993DC7">
        <w:rPr>
          <w:rFonts w:ascii="Times New Roman" w:hAnsi="Times New Roman" w:cs="Times New Roman"/>
          <w:sz w:val="20"/>
          <w:szCs w:val="20"/>
          <w:rtl/>
        </w:rPr>
        <w:t xml:space="preserve"> إذا لم يحضر المتهم ول</w:t>
      </w:r>
      <w:r w:rsidRPr="00993DC7">
        <w:rPr>
          <w:rFonts w:ascii="Times New Roman" w:hAnsi="Times New Roman" w:cs="Times New Roman" w:hint="cs"/>
          <w:sz w:val="20"/>
          <w:szCs w:val="20"/>
          <w:rtl/>
        </w:rPr>
        <w:t>ا يوجد ما يُثبت</w:t>
      </w:r>
      <w:r w:rsidRPr="00993DC7">
        <w:rPr>
          <w:rFonts w:ascii="Times New Roman" w:hAnsi="Times New Roman" w:cs="Times New Roman"/>
          <w:sz w:val="20"/>
          <w:szCs w:val="20"/>
          <w:rtl/>
        </w:rPr>
        <w:t xml:space="preserve"> إخطاره، أو إذا كان هناك سبب معقول للاعتقاد بأن عدم حضوره كان بسبب كوارث طبيعية أو ظروف استثنائية أخرى. </w:t>
      </w:r>
      <w:r w:rsidRPr="00993DC7">
        <w:rPr>
          <w:rFonts w:ascii="Times New Roman" w:hAnsi="Times New Roman" w:cs="Times New Roman" w:hint="cs"/>
          <w:sz w:val="20"/>
          <w:szCs w:val="20"/>
          <w:rtl/>
        </w:rPr>
        <w:t xml:space="preserve">كما لا </w:t>
      </w:r>
      <w:r w:rsidRPr="00993DC7">
        <w:rPr>
          <w:rFonts w:ascii="Times New Roman" w:hAnsi="Times New Roman" w:cs="Times New Roman"/>
          <w:sz w:val="20"/>
          <w:szCs w:val="20"/>
          <w:rtl/>
        </w:rPr>
        <w:t xml:space="preserve">يجوز عقد جلسة </w:t>
      </w:r>
      <w:r w:rsidRPr="00993DC7">
        <w:rPr>
          <w:rFonts w:ascii="Times New Roman" w:hAnsi="Times New Roman" w:cs="Times New Roman" w:hint="cs"/>
          <w:sz w:val="20"/>
          <w:szCs w:val="20"/>
          <w:rtl/>
        </w:rPr>
        <w:t>المحاكمة</w:t>
      </w:r>
      <w:r w:rsidRPr="00993DC7">
        <w:rPr>
          <w:rFonts w:ascii="Times New Roman" w:hAnsi="Times New Roman" w:cs="Times New Roman"/>
          <w:sz w:val="20"/>
          <w:szCs w:val="20"/>
          <w:rtl/>
        </w:rPr>
        <w:t xml:space="preserve"> إذا قدم المتهم عذرًا مقبولًا لغيابه وطلب عدم إجراء المحاكمة في غيابه (المادة 117، الفقرة 2). ويتطلب تبرير غياب المتهم الذي كان حضوره إلزاميًا أو الذي طلب حضوره بسبب المرض تقديم شهادة طبية صادرة عن طبيب</w:t>
      </w:r>
      <w:r w:rsidRPr="00993DC7">
        <w:rPr>
          <w:rFonts w:ascii="Times New Roman" w:hAnsi="Times New Roman" w:cs="Times New Roman" w:hint="cs"/>
          <w:sz w:val="20"/>
          <w:szCs w:val="20"/>
          <w:rtl/>
        </w:rPr>
        <w:t xml:space="preserve"> شرعي</w:t>
      </w:r>
      <w:r w:rsidRPr="00993DC7">
        <w:rPr>
          <w:rFonts w:ascii="Times New Roman" w:hAnsi="Times New Roman" w:cs="Times New Roman"/>
          <w:sz w:val="20"/>
          <w:szCs w:val="20"/>
          <w:rtl/>
        </w:rPr>
        <w:t xml:space="preserve"> معين من المحكمة تُثبت عدم قدرته على الحضور عند استدعائه من قبل الجهة القائمة على الإجراءات (المادة 117، الفقرة 2</w:t>
      </w:r>
      <w:r w:rsidRPr="00993DC7">
        <w:rPr>
          <w:rFonts w:ascii="Times New Roman" w:hAnsi="Times New Roman" w:cs="Times New Roman" w:hint="cs"/>
          <w:sz w:val="20"/>
          <w:szCs w:val="20"/>
          <w:rtl/>
        </w:rPr>
        <w:t>"</w:t>
      </w:r>
      <w:r w:rsidRPr="00993DC7">
        <w:rPr>
          <w:rFonts w:ascii="Times New Roman" w:hAnsi="Times New Roman" w:cs="Times New Roman"/>
          <w:sz w:val="20"/>
          <w:szCs w:val="20"/>
          <w:rtl/>
        </w:rPr>
        <w:t>أ</w:t>
      </w:r>
      <w:r w:rsidRPr="00993DC7">
        <w:rPr>
          <w:rFonts w:ascii="Times New Roman" w:hAnsi="Times New Roman" w:cs="Times New Roman" w:hint="cs"/>
          <w:sz w:val="20"/>
          <w:szCs w:val="20"/>
          <w:rtl/>
        </w:rPr>
        <w:t>"</w:t>
      </w:r>
      <w:r w:rsidRPr="00993DC7">
        <w:rPr>
          <w:rFonts w:ascii="Times New Roman" w:hAnsi="Times New Roman" w:cs="Times New Roman"/>
          <w:sz w:val="20"/>
          <w:szCs w:val="20"/>
          <w:rtl/>
        </w:rPr>
        <w:t>). في حال تخلف المتهم عن الحضور دون مبرر، إذا كان حضوره إلزاميًا، يُؤمر بالقبض عليه وإحضاره فورًا (المادة 382). ولا يمنع تخلف المتهم، بعد إخطاره رسميًا بإجراء ما، مهما كان السبب، من تنفيذ ذلك الإجراء إذا حضر محاميه</w:t>
      </w:r>
      <w:r w:rsidRPr="00993DC7">
        <w:rPr>
          <w:rFonts w:ascii="Times New Roman" w:hAnsi="Times New Roman" w:cs="Times New Roman" w:hint="cs"/>
          <w:sz w:val="20"/>
          <w:szCs w:val="20"/>
          <w:rtl/>
        </w:rPr>
        <w:t xml:space="preserve"> للدفاع عنه</w:t>
      </w:r>
      <w:r w:rsidRPr="00993DC7">
        <w:rPr>
          <w:rFonts w:ascii="Times New Roman" w:hAnsi="Times New Roman" w:cs="Times New Roman"/>
          <w:sz w:val="20"/>
          <w:szCs w:val="20"/>
          <w:rtl/>
        </w:rPr>
        <w:t>، شريطة ألا يكون حضور المتهم إلزاميًا (المادة 117، الفقرة 3</w:t>
      </w:r>
      <w:r w:rsidRPr="00993DC7">
        <w:rPr>
          <w:rFonts w:ascii="Times New Roman" w:hAnsi="Times New Roman" w:cs="Times New Roman" w:hint="cs"/>
          <w:sz w:val="20"/>
          <w:szCs w:val="20"/>
          <w:rtl/>
        </w:rPr>
        <w:t>"</w:t>
      </w:r>
      <w:r w:rsidRPr="00993DC7">
        <w:rPr>
          <w:rFonts w:ascii="Times New Roman" w:hAnsi="Times New Roman" w:cs="Times New Roman"/>
          <w:sz w:val="20"/>
          <w:szCs w:val="20"/>
          <w:rtl/>
        </w:rPr>
        <w:t>أ</w:t>
      </w:r>
      <w:r w:rsidRPr="00993DC7">
        <w:rPr>
          <w:rFonts w:ascii="Times New Roman" w:hAnsi="Times New Roman" w:cs="Times New Roman" w:hint="cs"/>
          <w:sz w:val="20"/>
          <w:szCs w:val="20"/>
          <w:rtl/>
        </w:rPr>
        <w:t>"</w:t>
      </w:r>
      <w:r w:rsidRPr="00993DC7">
        <w:rPr>
          <w:rFonts w:ascii="Times New Roman" w:hAnsi="Times New Roman" w:cs="Times New Roman"/>
          <w:sz w:val="20"/>
          <w:szCs w:val="20"/>
          <w:rtl/>
        </w:rPr>
        <w:t>).</w:t>
      </w:r>
    </w:p>
    <w:p w14:paraId="03A9FECF"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8. الحق في الاستعانة بمترجم مجانًا إذا لم يكن لديه إلمام كافٍ باللغة البولندية (المادة 72، الفقرة 1).</w:t>
      </w:r>
    </w:p>
    <w:p w14:paraId="2BA1100F"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9. الحق في تقديم طلب إدانة وفرض عقوبة أو إجراء جزائي محدد، أو فرض مصادرة أو تعويض دون جلسة استماع</w:t>
      </w:r>
      <w:r w:rsidRPr="00993DC7">
        <w:rPr>
          <w:rFonts w:ascii="Times New Roman" w:hAnsi="Times New Roman" w:cs="Times New Roman" w:hint="cs"/>
          <w:sz w:val="20"/>
          <w:szCs w:val="20"/>
          <w:rtl/>
        </w:rPr>
        <w:t xml:space="preserve"> إثباتية</w:t>
      </w:r>
      <w:r w:rsidRPr="00993DC7">
        <w:rPr>
          <w:rFonts w:ascii="Times New Roman" w:hAnsi="Times New Roman" w:cs="Times New Roman"/>
          <w:sz w:val="20"/>
          <w:szCs w:val="20"/>
          <w:rtl/>
        </w:rPr>
        <w:t xml:space="preserve">، أو اتخاذ قرار محدد بشأن دفع رسوم المحكمة. ويجوز للمحكمة الموافقة على طلب الإدانة إذا كانت ظروف </w:t>
      </w:r>
      <w:r w:rsidRPr="00993DC7">
        <w:rPr>
          <w:rFonts w:ascii="Times New Roman" w:hAnsi="Times New Roman" w:cs="Times New Roman" w:hint="cs"/>
          <w:sz w:val="20"/>
          <w:szCs w:val="20"/>
          <w:rtl/>
        </w:rPr>
        <w:t xml:space="preserve">ارتكاب </w:t>
      </w:r>
      <w:r w:rsidRPr="00993DC7">
        <w:rPr>
          <w:rFonts w:ascii="Times New Roman" w:hAnsi="Times New Roman" w:cs="Times New Roman"/>
          <w:sz w:val="20"/>
          <w:szCs w:val="20"/>
          <w:rtl/>
        </w:rPr>
        <w:t>الجريمة والذنب واضحة</w:t>
      </w:r>
      <w:r w:rsidRPr="00993DC7">
        <w:rPr>
          <w:rFonts w:ascii="Times New Roman" w:hAnsi="Times New Roman" w:cs="Times New Roman" w:hint="cs"/>
          <w:sz w:val="20"/>
          <w:szCs w:val="20"/>
          <w:rtl/>
        </w:rPr>
        <w:t xml:space="preserve"> لا تثير شكوك</w:t>
      </w:r>
      <w:r w:rsidRPr="00993DC7">
        <w:rPr>
          <w:rFonts w:ascii="Times New Roman" w:hAnsi="Times New Roman" w:cs="Times New Roman"/>
          <w:sz w:val="20"/>
          <w:szCs w:val="20"/>
          <w:rtl/>
        </w:rPr>
        <w:t xml:space="preserve">، وإذا كان من الممكن تحقيق أهداف الإجراءات رغم عدم عقد جلسة </w:t>
      </w:r>
      <w:r w:rsidRPr="00993DC7">
        <w:rPr>
          <w:rFonts w:ascii="Times New Roman" w:hAnsi="Times New Roman" w:cs="Times New Roman" w:hint="cs"/>
          <w:sz w:val="20"/>
          <w:szCs w:val="20"/>
          <w:rtl/>
        </w:rPr>
        <w:t>المحاكمة</w:t>
      </w:r>
      <w:r w:rsidRPr="00993DC7">
        <w:rPr>
          <w:rFonts w:ascii="Times New Roman" w:hAnsi="Times New Roman" w:cs="Times New Roman"/>
          <w:sz w:val="20"/>
          <w:szCs w:val="20"/>
          <w:rtl/>
        </w:rPr>
        <w:t xml:space="preserve"> كاملة. </w:t>
      </w:r>
      <w:r w:rsidRPr="00993DC7">
        <w:rPr>
          <w:rFonts w:ascii="Times New Roman" w:hAnsi="Times New Roman" w:cs="Times New Roman" w:hint="cs"/>
          <w:sz w:val="20"/>
          <w:szCs w:val="20"/>
          <w:rtl/>
        </w:rPr>
        <w:t>و</w:t>
      </w:r>
      <w:r w:rsidRPr="00993DC7">
        <w:rPr>
          <w:rFonts w:ascii="Times New Roman" w:hAnsi="Times New Roman" w:cs="Times New Roman"/>
          <w:sz w:val="20"/>
          <w:szCs w:val="20"/>
          <w:rtl/>
        </w:rPr>
        <w:t>لا يُقبل الطلب إلا إذا لم يعترض المدعي العام والطرف المتضرر، وتم إخطارهما رسميًا بموعد جلسة</w:t>
      </w:r>
      <w:r w:rsidRPr="00993DC7">
        <w:rPr>
          <w:rFonts w:ascii="Times New Roman" w:hAnsi="Times New Roman" w:cs="Times New Roman" w:hint="cs"/>
          <w:sz w:val="20"/>
          <w:szCs w:val="20"/>
          <w:rtl/>
        </w:rPr>
        <w:t xml:space="preserve"> المحاكمة</w:t>
      </w:r>
      <w:r w:rsidRPr="00993DC7">
        <w:rPr>
          <w:rFonts w:ascii="Times New Roman" w:hAnsi="Times New Roman" w:cs="Times New Roman"/>
          <w:sz w:val="20"/>
          <w:szCs w:val="20"/>
          <w:rtl/>
        </w:rPr>
        <w:t>، و</w:t>
      </w:r>
      <w:r w:rsidRPr="00993DC7">
        <w:rPr>
          <w:rFonts w:ascii="Times New Roman" w:hAnsi="Times New Roman" w:cs="Times New Roman" w:hint="cs"/>
          <w:sz w:val="20"/>
          <w:szCs w:val="20"/>
          <w:rtl/>
        </w:rPr>
        <w:t>ع</w:t>
      </w:r>
      <w:r w:rsidRPr="00993DC7">
        <w:rPr>
          <w:rFonts w:ascii="Times New Roman" w:hAnsi="Times New Roman" w:cs="Times New Roman"/>
          <w:sz w:val="20"/>
          <w:szCs w:val="20"/>
          <w:rtl/>
        </w:rPr>
        <w:t>ُل</w:t>
      </w:r>
      <w:r w:rsidRPr="00993DC7">
        <w:rPr>
          <w:rFonts w:ascii="Times New Roman" w:hAnsi="Times New Roman" w:cs="Times New Roman" w:hint="cs"/>
          <w:sz w:val="20"/>
          <w:szCs w:val="20"/>
          <w:rtl/>
        </w:rPr>
        <w:t>ّ</w:t>
      </w:r>
      <w:r w:rsidRPr="00993DC7">
        <w:rPr>
          <w:rFonts w:ascii="Times New Roman" w:hAnsi="Times New Roman" w:cs="Times New Roman"/>
          <w:sz w:val="20"/>
          <w:szCs w:val="20"/>
          <w:rtl/>
        </w:rPr>
        <w:t>ما بحق المتهم في تقديم هذا الطلب. ويجوز للمحكمة أن تشترط قبول طلب المتهم بالتعديل الذي أشار إليه. وفي قضايا الجرائم الاستثنائية، لا يُمنح تخفيف</w:t>
      </w:r>
      <w:r w:rsidRPr="00993DC7">
        <w:rPr>
          <w:rFonts w:ascii="Times New Roman" w:hAnsi="Times New Roman" w:cs="Times New Roman" w:hint="cs"/>
          <w:sz w:val="20"/>
          <w:szCs w:val="20"/>
          <w:rtl/>
        </w:rPr>
        <w:t xml:space="preserve"> العقوبة</w:t>
      </w:r>
      <w:r w:rsidRPr="00993DC7">
        <w:rPr>
          <w:rFonts w:ascii="Times New Roman" w:hAnsi="Times New Roman" w:cs="Times New Roman"/>
          <w:sz w:val="20"/>
          <w:szCs w:val="20"/>
          <w:rtl/>
        </w:rPr>
        <w:t xml:space="preserve"> إلا إذا قُدِّم الطلب قبل إخطار المتهم بموعد الجلسة. ويجوز تقديم طلب إصدار حكم بالإدانة وفرض عقوبة أو إجراء جزائي محدد، أو الأمر بالمصادرة أو التعويض دون جلسة استماع للأدلة، أو إصدار حكم محدد بشأن دفع رسوم المحكمة، حتى انتهاء جلسة</w:t>
      </w:r>
      <w:r w:rsidRPr="00993DC7">
        <w:rPr>
          <w:rFonts w:ascii="Times New Roman" w:hAnsi="Times New Roman" w:cs="Times New Roman" w:hint="cs"/>
          <w:sz w:val="20"/>
          <w:szCs w:val="20"/>
          <w:rtl/>
        </w:rPr>
        <w:t xml:space="preserve"> الاستماع</w:t>
      </w:r>
      <w:r w:rsidRPr="00993DC7">
        <w:rPr>
          <w:rFonts w:ascii="Times New Roman" w:hAnsi="Times New Roman" w:cs="Times New Roman"/>
          <w:sz w:val="20"/>
          <w:szCs w:val="20"/>
          <w:rtl/>
        </w:rPr>
        <w:t xml:space="preserve"> الأولى لجميع المتهمين (المادة 387، الفقرة 1، الجملتان الأولى والثانية، الفقرتان 2 و3).</w:t>
      </w:r>
    </w:p>
    <w:p w14:paraId="5CF1E684"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lastRenderedPageBreak/>
        <w:t xml:space="preserve">10. الحق في تقديم طلب لإحالة القضية إلى </w:t>
      </w:r>
      <w:r w:rsidRPr="00993DC7">
        <w:rPr>
          <w:rFonts w:ascii="Times New Roman" w:hAnsi="Times New Roman" w:cs="Times New Roman" w:hint="cs"/>
          <w:sz w:val="20"/>
          <w:szCs w:val="20"/>
          <w:rtl/>
        </w:rPr>
        <w:t xml:space="preserve">إجراءات </w:t>
      </w:r>
      <w:r w:rsidRPr="00993DC7">
        <w:rPr>
          <w:rFonts w:ascii="Times New Roman" w:hAnsi="Times New Roman" w:cs="Times New Roman"/>
          <w:sz w:val="20"/>
          <w:szCs w:val="20"/>
          <w:rtl/>
        </w:rPr>
        <w:t>الوساطة بهدف المصالحة مع الطرف المتضرر (المادة 23</w:t>
      </w:r>
      <w:r w:rsidRPr="00993DC7">
        <w:rPr>
          <w:rFonts w:ascii="Times New Roman" w:hAnsi="Times New Roman" w:cs="Times New Roman" w:hint="cs"/>
          <w:sz w:val="20"/>
          <w:szCs w:val="20"/>
          <w:rtl/>
        </w:rPr>
        <w:t>"</w:t>
      </w:r>
      <w:r w:rsidRPr="00993DC7">
        <w:rPr>
          <w:rFonts w:ascii="Times New Roman" w:hAnsi="Times New Roman" w:cs="Times New Roman"/>
          <w:sz w:val="20"/>
          <w:szCs w:val="20"/>
          <w:rtl/>
        </w:rPr>
        <w:t>أ</w:t>
      </w:r>
      <w:r w:rsidRPr="00993DC7">
        <w:rPr>
          <w:rFonts w:ascii="Times New Roman" w:hAnsi="Times New Roman" w:cs="Times New Roman" w:hint="cs"/>
          <w:sz w:val="20"/>
          <w:szCs w:val="20"/>
          <w:rtl/>
        </w:rPr>
        <w:t>"</w:t>
      </w:r>
      <w:r w:rsidRPr="00993DC7">
        <w:rPr>
          <w:rFonts w:ascii="Times New Roman" w:hAnsi="Times New Roman" w:cs="Times New Roman"/>
          <w:sz w:val="20"/>
          <w:szCs w:val="20"/>
          <w:rtl/>
        </w:rPr>
        <w:t xml:space="preserve">). المشاركة في الوساطة اختيارية. تأخذ المحكمة في الاعتبار النتائج الإيجابية للوساطة عند </w:t>
      </w:r>
      <w:r w:rsidRPr="00993DC7">
        <w:rPr>
          <w:rFonts w:ascii="Times New Roman" w:hAnsi="Times New Roman" w:cs="Times New Roman" w:hint="cs"/>
          <w:sz w:val="20"/>
          <w:szCs w:val="20"/>
          <w:rtl/>
        </w:rPr>
        <w:t>تحديد العقوبة</w:t>
      </w:r>
      <w:r w:rsidRPr="00993DC7">
        <w:rPr>
          <w:rFonts w:ascii="Times New Roman" w:hAnsi="Times New Roman" w:cs="Times New Roman"/>
          <w:sz w:val="20"/>
          <w:szCs w:val="20"/>
          <w:rtl/>
        </w:rPr>
        <w:t xml:space="preserve"> </w:t>
      </w:r>
      <w:r w:rsidRPr="00993DC7">
        <w:rPr>
          <w:rFonts w:ascii="Times New Roman" w:hAnsi="Times New Roman" w:cs="Times New Roman" w:hint="cs"/>
          <w:sz w:val="20"/>
          <w:szCs w:val="20"/>
          <w:rtl/>
        </w:rPr>
        <w:t>و</w:t>
      </w:r>
      <w:r w:rsidRPr="00993DC7">
        <w:rPr>
          <w:rFonts w:ascii="Times New Roman" w:hAnsi="Times New Roman" w:cs="Times New Roman"/>
          <w:sz w:val="20"/>
          <w:szCs w:val="20"/>
          <w:rtl/>
        </w:rPr>
        <w:t>إصدار الحكم</w:t>
      </w:r>
      <w:r w:rsidRPr="00993DC7">
        <w:rPr>
          <w:rFonts w:ascii="Times New Roman" w:hAnsi="Times New Roman" w:cs="Times New Roman" w:hint="cs"/>
          <w:sz w:val="20"/>
          <w:szCs w:val="20"/>
          <w:rtl/>
        </w:rPr>
        <w:t xml:space="preserve"> </w:t>
      </w:r>
      <w:r w:rsidRPr="00993DC7">
        <w:rPr>
          <w:rFonts w:ascii="Times New Roman" w:hAnsi="Times New Roman" w:cs="Times New Roman"/>
          <w:sz w:val="20"/>
          <w:szCs w:val="20"/>
          <w:rtl/>
        </w:rPr>
        <w:t xml:space="preserve">(المادة 53 الفقرة 3 من </w:t>
      </w:r>
      <w:r w:rsidRPr="00993DC7">
        <w:rPr>
          <w:rFonts w:ascii="Times New Roman" w:hAnsi="Times New Roman" w:cs="Times New Roman" w:hint="cs"/>
          <w:sz w:val="20"/>
          <w:szCs w:val="20"/>
          <w:rtl/>
        </w:rPr>
        <w:t>ال</w:t>
      </w:r>
      <w:r w:rsidRPr="00993DC7">
        <w:rPr>
          <w:rFonts w:ascii="Times New Roman" w:hAnsi="Times New Roman" w:cs="Times New Roman"/>
          <w:sz w:val="20"/>
          <w:szCs w:val="20"/>
          <w:rtl/>
        </w:rPr>
        <w:t>قانون</w:t>
      </w:r>
      <w:r w:rsidRPr="00993DC7">
        <w:rPr>
          <w:rFonts w:ascii="Times New Roman" w:hAnsi="Times New Roman" w:cs="Times New Roman" w:hint="cs"/>
          <w:sz w:val="20"/>
          <w:szCs w:val="20"/>
          <w:rtl/>
        </w:rPr>
        <w:t xml:space="preserve"> الصادر في</w:t>
      </w:r>
      <w:r w:rsidRPr="00993DC7">
        <w:rPr>
          <w:rFonts w:ascii="Times New Roman" w:hAnsi="Times New Roman" w:cs="Times New Roman"/>
          <w:sz w:val="20"/>
          <w:szCs w:val="20"/>
          <w:rtl/>
        </w:rPr>
        <w:t xml:space="preserve"> 6 يونيو</w:t>
      </w:r>
      <w:r w:rsidRPr="00993DC7">
        <w:rPr>
          <w:rFonts w:ascii="Times New Roman" w:hAnsi="Times New Roman" w:cs="Times New Roman" w:hint="cs"/>
          <w:sz w:val="20"/>
          <w:szCs w:val="20"/>
          <w:rtl/>
        </w:rPr>
        <w:t xml:space="preserve"> / حزيران</w:t>
      </w:r>
      <w:r w:rsidRPr="00993DC7">
        <w:rPr>
          <w:rFonts w:ascii="Times New Roman" w:hAnsi="Times New Roman" w:cs="Times New Roman"/>
          <w:sz w:val="20"/>
          <w:szCs w:val="20"/>
          <w:rtl/>
        </w:rPr>
        <w:t xml:space="preserve"> 1997</w:t>
      </w:r>
      <w:r w:rsidRPr="00993DC7">
        <w:rPr>
          <w:rFonts w:ascii="Times New Roman" w:hAnsi="Times New Roman" w:cs="Times New Roman" w:hint="cs"/>
          <w:sz w:val="20"/>
          <w:szCs w:val="20"/>
          <w:rtl/>
        </w:rPr>
        <w:t>م</w:t>
      </w:r>
      <w:r w:rsidRPr="00993DC7">
        <w:rPr>
          <w:rFonts w:ascii="Times New Roman" w:hAnsi="Times New Roman" w:cs="Times New Roman"/>
          <w:sz w:val="20"/>
          <w:szCs w:val="20"/>
          <w:rtl/>
        </w:rPr>
        <w:t xml:space="preserve"> - قانون العقوبات، الجريدة الرسمية لعام 2018، البند 1600، بصيغته المعدلة).</w:t>
      </w:r>
    </w:p>
    <w:p w14:paraId="47253257"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11. الحق في الاطلاع على ملفات القضية والحصول على نسخ</w:t>
      </w:r>
      <w:r w:rsidRPr="00993DC7">
        <w:rPr>
          <w:rFonts w:ascii="Times New Roman" w:hAnsi="Times New Roman" w:cs="Times New Roman" w:hint="cs"/>
          <w:sz w:val="20"/>
          <w:szCs w:val="20"/>
          <w:rtl/>
        </w:rPr>
        <w:t xml:space="preserve"> وصور</w:t>
      </w:r>
      <w:r w:rsidRPr="00993DC7">
        <w:rPr>
          <w:rFonts w:ascii="Times New Roman" w:hAnsi="Times New Roman" w:cs="Times New Roman"/>
          <w:sz w:val="20"/>
          <w:szCs w:val="20"/>
          <w:rtl/>
        </w:rPr>
        <w:t xml:space="preserve"> منها (المادة 156 الفقرات 1-3).</w:t>
      </w:r>
    </w:p>
    <w:p w14:paraId="79090C05"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 xml:space="preserve">12. الحق في تقديم طلب للحصول على تبرير كتابي للحكم خلال سبعة أيام من تأريخ النطق به. ولا يعفي إعداد التبرير </w:t>
      </w:r>
      <w:r w:rsidRPr="00993DC7">
        <w:rPr>
          <w:rFonts w:ascii="Times New Roman" w:hAnsi="Times New Roman" w:cs="Times New Roman" w:hint="cs"/>
          <w:sz w:val="20"/>
          <w:szCs w:val="20"/>
          <w:rtl/>
        </w:rPr>
        <w:t xml:space="preserve">من </w:t>
      </w:r>
      <w:r w:rsidRPr="00993DC7">
        <w:rPr>
          <w:rFonts w:ascii="Times New Roman" w:hAnsi="Times New Roman" w:cs="Times New Roman"/>
          <w:sz w:val="20"/>
          <w:szCs w:val="20"/>
          <w:rtl/>
        </w:rPr>
        <w:t>المحكمة من تقديم طلب رسمي للحصول عليه. ويجب تقديم الطلب كتابيًا، مع توضيح ما إذا كان يتعلق بالحكم برمته، أو بأفعال محددة فقط، أو بقرار العقوبة والآثار القانونية الأخرى المترتبة على الفعل. بالنسبة للمتهم المحتجز</w:t>
      </w:r>
      <w:r w:rsidRPr="00993DC7">
        <w:rPr>
          <w:rFonts w:ascii="Times New Roman" w:hAnsi="Times New Roman" w:cs="Times New Roman" w:hint="cs"/>
          <w:sz w:val="20"/>
          <w:szCs w:val="20"/>
          <w:rtl/>
        </w:rPr>
        <w:t xml:space="preserve"> أو المحروم من حريته</w:t>
      </w:r>
      <w:r w:rsidRPr="00993DC7">
        <w:rPr>
          <w:rFonts w:ascii="Times New Roman" w:hAnsi="Times New Roman" w:cs="Times New Roman"/>
          <w:sz w:val="20"/>
          <w:szCs w:val="20"/>
          <w:rtl/>
        </w:rPr>
        <w:t xml:space="preserve"> الذي لا يملك محامياً للدفاع، والذي لم يحضر جلسة النطق بالحكم رغم تقديمه طلباً بذلك، فإن مهلة تقديم طلب لإعداد مبررات الحكم وتبليغه تبدأ من تأريخ تبليغه. ولا يُقبل الطلب المقدم من شخص غير مخول، أو بعد انقضاء المهلة، أو إذا لم تُعالج أوجه القصور خلال المهلة (المادة 422، الفقرات 1-3).</w:t>
      </w:r>
    </w:p>
    <w:p w14:paraId="6B1F028A" w14:textId="77777777" w:rsidR="009776E6" w:rsidRPr="00993DC7" w:rsidRDefault="009776E6" w:rsidP="009776E6">
      <w:pPr>
        <w:bidi/>
        <w:spacing w:after="0" w:line="360" w:lineRule="auto"/>
        <w:jc w:val="both"/>
        <w:rPr>
          <w:rFonts w:ascii="Times New Roman" w:hAnsi="Times New Roman" w:cs="Times New Roman"/>
          <w:b/>
          <w:bCs/>
          <w:sz w:val="20"/>
          <w:szCs w:val="20"/>
        </w:rPr>
      </w:pPr>
      <w:r w:rsidRPr="00993DC7">
        <w:rPr>
          <w:rFonts w:ascii="Times New Roman" w:hAnsi="Times New Roman" w:cs="Times New Roman"/>
          <w:b/>
          <w:bCs/>
          <w:sz w:val="20"/>
          <w:szCs w:val="20"/>
          <w:rtl/>
        </w:rPr>
        <w:t>يجوز إجراء الإجراءات الجنائية دون حضور المتهم الذي</w:t>
      </w:r>
      <w:r w:rsidRPr="00993DC7">
        <w:rPr>
          <w:rFonts w:ascii="Times New Roman" w:hAnsi="Times New Roman" w:cs="Times New Roman" w:hint="cs"/>
          <w:b/>
          <w:bCs/>
          <w:sz w:val="20"/>
          <w:szCs w:val="20"/>
          <w:rtl/>
        </w:rPr>
        <w:t xml:space="preserve"> كان حضوره إلزاميًا، </w:t>
      </w:r>
      <w:r w:rsidRPr="00993DC7">
        <w:rPr>
          <w:rFonts w:ascii="Times New Roman" w:hAnsi="Times New Roman" w:cs="Times New Roman"/>
          <w:b/>
          <w:bCs/>
          <w:sz w:val="20"/>
          <w:szCs w:val="20"/>
          <w:rtl/>
        </w:rPr>
        <w:t>في الحالات التالية:</w:t>
      </w:r>
    </w:p>
    <w:p w14:paraId="1FB16989"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1) إذا كان المتهم غير قادر على المشاركة في جلسة</w:t>
      </w:r>
      <w:r w:rsidRPr="00993DC7">
        <w:rPr>
          <w:rFonts w:ascii="Times New Roman" w:hAnsi="Times New Roman" w:cs="Times New Roman" w:hint="cs"/>
          <w:sz w:val="20"/>
          <w:szCs w:val="20"/>
          <w:rtl/>
        </w:rPr>
        <w:t xml:space="preserve"> المحاكمة أو جلسة الاستماع</w:t>
      </w:r>
      <w:r w:rsidRPr="00993DC7">
        <w:rPr>
          <w:rFonts w:ascii="Times New Roman" w:hAnsi="Times New Roman" w:cs="Times New Roman"/>
          <w:sz w:val="20"/>
          <w:szCs w:val="20"/>
          <w:rtl/>
        </w:rPr>
        <w:t xml:space="preserve"> بسبب تقصيره؛ ولا يُعد عدم تقديم المتهم لتفسيراته عائقاً أمام سير الإجراءات؛ وقبل إصدار قرار في هذا الشأن، تراجع المحكمة شهادة الطبيب الذي حدد عدم الأهلية، أو تستمع إلى ال</w:t>
      </w:r>
      <w:r w:rsidRPr="00993DC7">
        <w:rPr>
          <w:rFonts w:ascii="Times New Roman" w:hAnsi="Times New Roman" w:cs="Times New Roman" w:hint="cs"/>
          <w:sz w:val="20"/>
          <w:szCs w:val="20"/>
          <w:rtl/>
        </w:rPr>
        <w:t>طبيب</w:t>
      </w:r>
      <w:r w:rsidRPr="00993DC7">
        <w:rPr>
          <w:rFonts w:ascii="Times New Roman" w:hAnsi="Times New Roman" w:cs="Times New Roman"/>
          <w:sz w:val="20"/>
          <w:szCs w:val="20"/>
          <w:rtl/>
        </w:rPr>
        <w:t xml:space="preserve"> كخبير. </w:t>
      </w:r>
      <w:r w:rsidRPr="00993DC7">
        <w:rPr>
          <w:rFonts w:ascii="Times New Roman" w:hAnsi="Times New Roman" w:cs="Times New Roman" w:hint="cs"/>
          <w:sz w:val="20"/>
          <w:szCs w:val="20"/>
          <w:rtl/>
        </w:rPr>
        <w:t>و</w:t>
      </w:r>
      <w:r w:rsidRPr="00993DC7">
        <w:rPr>
          <w:rFonts w:ascii="Times New Roman" w:hAnsi="Times New Roman" w:cs="Times New Roman"/>
          <w:sz w:val="20"/>
          <w:szCs w:val="20"/>
          <w:rtl/>
        </w:rPr>
        <w:t xml:space="preserve">يجوز تحديد الحالة التي تجعل المتهم غير قادر على المشاركة في جلسة </w:t>
      </w:r>
      <w:r w:rsidRPr="00993DC7">
        <w:rPr>
          <w:rFonts w:ascii="Times New Roman" w:hAnsi="Times New Roman" w:cs="Times New Roman" w:hint="cs"/>
          <w:sz w:val="20"/>
          <w:szCs w:val="20"/>
          <w:rtl/>
        </w:rPr>
        <w:t>المحاكمة</w:t>
      </w:r>
      <w:r w:rsidRPr="00993DC7">
        <w:rPr>
          <w:rFonts w:ascii="Times New Roman" w:hAnsi="Times New Roman" w:cs="Times New Roman"/>
          <w:sz w:val="20"/>
          <w:szCs w:val="20"/>
          <w:rtl/>
        </w:rPr>
        <w:t xml:space="preserve"> بناءً على فحص لا ينطوي على انتهاك للسلامة الجسدية، ويُجرى باستخدام جهاز مناسب (المادة 377، الفقرتان 1 و2)؛</w:t>
      </w:r>
    </w:p>
    <w:p w14:paraId="742A7AEB"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 xml:space="preserve">2) إذا أُبلغ المتهم رسميًا بجلسة </w:t>
      </w:r>
      <w:r w:rsidRPr="00993DC7">
        <w:rPr>
          <w:rFonts w:ascii="Times New Roman" w:hAnsi="Times New Roman" w:cs="Times New Roman" w:hint="cs"/>
          <w:sz w:val="20"/>
          <w:szCs w:val="20"/>
          <w:rtl/>
        </w:rPr>
        <w:t xml:space="preserve">المحاكمة أو </w:t>
      </w:r>
      <w:r w:rsidRPr="00993DC7">
        <w:rPr>
          <w:rFonts w:ascii="Times New Roman" w:hAnsi="Times New Roman" w:cs="Times New Roman"/>
          <w:sz w:val="20"/>
          <w:szCs w:val="20"/>
          <w:rtl/>
        </w:rPr>
        <w:t>الاستماع ، وأعلن عدم مشاركته فيها، أو منع إحضاره إليها، أو إذا أُبلغ شخصيًا بها وتخلف عن الحضور دون مبرر؛ ومع ذلك، يجوز للمحكمة في هذه الحالة أن تأمر باحتجاز المتهم وإحضاره إلى المحكمة بالقوة (المادة 377، الفقرة 3)؛</w:t>
      </w:r>
    </w:p>
    <w:p w14:paraId="1CBA7485" w14:textId="77777777" w:rsidR="009776E6" w:rsidRPr="00993DC7" w:rsidRDefault="009776E6" w:rsidP="009776E6">
      <w:pPr>
        <w:bidi/>
        <w:spacing w:after="0" w:line="360" w:lineRule="auto"/>
        <w:jc w:val="both"/>
        <w:rPr>
          <w:rFonts w:ascii="Times New Roman" w:hAnsi="Times New Roman" w:cs="Times New Roman"/>
          <w:sz w:val="20"/>
          <w:szCs w:val="20"/>
          <w:rtl/>
        </w:rPr>
      </w:pPr>
      <w:r w:rsidRPr="00993DC7">
        <w:rPr>
          <w:rFonts w:ascii="Times New Roman" w:hAnsi="Times New Roman" w:cs="Times New Roman"/>
          <w:sz w:val="20"/>
          <w:szCs w:val="20"/>
          <w:rtl/>
        </w:rPr>
        <w:t>3) إذا كان قد قدم تفسيرات وغادر قاعة المحكمة دون إذن القاضي</w:t>
      </w:r>
      <w:r w:rsidRPr="00993DC7">
        <w:rPr>
          <w:rFonts w:ascii="Times New Roman" w:hAnsi="Times New Roman" w:cs="Times New Roman" w:hint="cs"/>
          <w:sz w:val="20"/>
          <w:szCs w:val="20"/>
          <w:rtl/>
        </w:rPr>
        <w:t xml:space="preserve"> رئيس الجلسة</w:t>
      </w:r>
      <w:r w:rsidRPr="00993DC7">
        <w:rPr>
          <w:rFonts w:ascii="Times New Roman" w:hAnsi="Times New Roman" w:cs="Times New Roman"/>
          <w:sz w:val="20"/>
          <w:szCs w:val="20"/>
          <w:rtl/>
        </w:rPr>
        <w:t xml:space="preserve">، ما لم ترَ المحكمة حضوره إلزاميًا وأمرت باحتجازه وإحضاره إلى المحكمة بالقوة (المادة 376، الفقرة 1، الجملتان الأولى والثانية). </w:t>
      </w:r>
    </w:p>
    <w:p w14:paraId="3814E291" w14:textId="77777777" w:rsidR="009776E6" w:rsidRPr="00993DC7" w:rsidRDefault="009776E6" w:rsidP="009776E6">
      <w:pPr>
        <w:bidi/>
        <w:spacing w:after="0" w:line="360" w:lineRule="auto"/>
        <w:jc w:val="both"/>
        <w:rPr>
          <w:rFonts w:ascii="Times New Roman" w:hAnsi="Times New Roman" w:cs="Times New Roman"/>
          <w:sz w:val="20"/>
          <w:szCs w:val="20"/>
          <w:rtl/>
        </w:rPr>
      </w:pPr>
      <w:r w:rsidRPr="00993DC7">
        <w:rPr>
          <w:rFonts w:ascii="Times New Roman" w:hAnsi="Times New Roman" w:cs="Times New Roman"/>
          <w:sz w:val="20"/>
          <w:szCs w:val="20"/>
          <w:rtl/>
        </w:rPr>
        <w:t>4) بعد إخطاره بتأريخ جلسة ال</w:t>
      </w:r>
      <w:r w:rsidRPr="00993DC7">
        <w:rPr>
          <w:rFonts w:ascii="Times New Roman" w:hAnsi="Times New Roman" w:cs="Times New Roman" w:hint="cs"/>
          <w:sz w:val="20"/>
          <w:szCs w:val="20"/>
          <w:rtl/>
        </w:rPr>
        <w:t>محاكمة</w:t>
      </w:r>
      <w:r w:rsidRPr="00993DC7">
        <w:rPr>
          <w:rFonts w:ascii="Times New Roman" w:hAnsi="Times New Roman" w:cs="Times New Roman"/>
          <w:sz w:val="20"/>
          <w:szCs w:val="20"/>
          <w:rtl/>
        </w:rPr>
        <w:t xml:space="preserve"> المؤجلة أو الم</w:t>
      </w:r>
      <w:r w:rsidRPr="00993DC7">
        <w:rPr>
          <w:rFonts w:ascii="Times New Roman" w:hAnsi="Times New Roman" w:cs="Times New Roman" w:hint="cs"/>
          <w:sz w:val="20"/>
          <w:szCs w:val="20"/>
          <w:rtl/>
        </w:rPr>
        <w:t>ن</w:t>
      </w:r>
      <w:r w:rsidRPr="00993DC7">
        <w:rPr>
          <w:rFonts w:ascii="Times New Roman" w:hAnsi="Times New Roman" w:cs="Times New Roman"/>
          <w:sz w:val="20"/>
          <w:szCs w:val="20"/>
          <w:rtl/>
        </w:rPr>
        <w:t>قطعة، لم يحضر في تلك الجلسة دون مبرر، ما لم تعتبر المحكمة حضوره إلزاميًا وأمرت بالقبض عليه وحضوره الإلزامي (المادة 376</w:t>
      </w:r>
      <w:r w:rsidRPr="00993DC7">
        <w:rPr>
          <w:rFonts w:ascii="Times New Roman" w:hAnsi="Times New Roman" w:cs="Times New Roman" w:hint="cs"/>
          <w:sz w:val="20"/>
          <w:szCs w:val="20"/>
          <w:rtl/>
        </w:rPr>
        <w:t xml:space="preserve"> الفقرة</w:t>
      </w:r>
      <w:r w:rsidRPr="00993DC7">
        <w:rPr>
          <w:rFonts w:ascii="Times New Roman" w:hAnsi="Times New Roman" w:cs="Times New Roman"/>
          <w:sz w:val="20"/>
          <w:szCs w:val="20"/>
          <w:rtl/>
        </w:rPr>
        <w:t xml:space="preserve"> 2).</w:t>
      </w:r>
    </w:p>
    <w:p w14:paraId="14449CC3"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إذا لم يحضر متهم مشارك، قدّم مبرراً لغيابه، جلسةً مؤجلةً أو م</w:t>
      </w:r>
      <w:r w:rsidRPr="00993DC7">
        <w:rPr>
          <w:rFonts w:ascii="Times New Roman" w:hAnsi="Times New Roman" w:cs="Times New Roman" w:hint="cs"/>
          <w:sz w:val="20"/>
          <w:szCs w:val="20"/>
          <w:rtl/>
        </w:rPr>
        <w:t>ن</w:t>
      </w:r>
      <w:r w:rsidRPr="00993DC7">
        <w:rPr>
          <w:rFonts w:ascii="Times New Roman" w:hAnsi="Times New Roman" w:cs="Times New Roman"/>
          <w:sz w:val="20"/>
          <w:szCs w:val="20"/>
          <w:rtl/>
        </w:rPr>
        <w:t>قطعة، يجوز للمحكمة استئناف الجلسة في مسألة لا تتعلق مباشرة بالمتهم الغائب، شريطة ألا يمس ذلك بحقه في الدفاع (المادة 376، الفقرة 3).</w:t>
      </w:r>
    </w:p>
    <w:p w14:paraId="273E8E47"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يجوز للقاضي</w:t>
      </w:r>
      <w:r w:rsidRPr="00993DC7">
        <w:rPr>
          <w:rFonts w:ascii="Times New Roman" w:hAnsi="Times New Roman" w:cs="Times New Roman" w:hint="cs"/>
          <w:sz w:val="20"/>
          <w:szCs w:val="20"/>
          <w:rtl/>
        </w:rPr>
        <w:t xml:space="preserve"> رئيس الجلسة</w:t>
      </w:r>
      <w:r w:rsidRPr="00993DC7">
        <w:rPr>
          <w:rFonts w:ascii="Times New Roman" w:hAnsi="Times New Roman" w:cs="Times New Roman"/>
          <w:sz w:val="20"/>
          <w:szCs w:val="20"/>
          <w:rtl/>
        </w:rPr>
        <w:t xml:space="preserve"> المُعيّن أو </w:t>
      </w:r>
      <w:r w:rsidRPr="00993DC7">
        <w:rPr>
          <w:rFonts w:ascii="Times New Roman" w:hAnsi="Times New Roman" w:cs="Times New Roman" w:hint="cs"/>
          <w:sz w:val="20"/>
          <w:szCs w:val="20"/>
          <w:rtl/>
        </w:rPr>
        <w:t>ل</w:t>
      </w:r>
      <w:r w:rsidRPr="00993DC7">
        <w:rPr>
          <w:rFonts w:ascii="Times New Roman" w:hAnsi="Times New Roman" w:cs="Times New Roman"/>
          <w:sz w:val="20"/>
          <w:szCs w:val="20"/>
          <w:rtl/>
        </w:rPr>
        <w:t>لمحكمة التي يقع ضمن نطاق اختصاصها استجواب المتهم الذي لم يدلِ بشهادته أمام المحكمة بعد، إذا لم يحضر بسبب عوائق يصعب التغلب عليها. كما يجوز للمحكمة اعتبار قراءة المتهم لأقواله السابقة كافية. ويجوز استجواب المتهم عبر تقنية الفيديو (المادة 377، الفقرة 4).</w:t>
      </w:r>
    </w:p>
    <w:p w14:paraId="25E4FE6E" w14:textId="77777777" w:rsidR="009776E6" w:rsidRPr="00993DC7" w:rsidRDefault="009776E6" w:rsidP="009776E6">
      <w:pPr>
        <w:bidi/>
        <w:spacing w:after="0" w:line="360" w:lineRule="auto"/>
        <w:jc w:val="both"/>
        <w:rPr>
          <w:rFonts w:ascii="Times New Roman" w:hAnsi="Times New Roman" w:cs="Times New Roman"/>
          <w:b/>
          <w:bCs/>
          <w:sz w:val="20"/>
          <w:szCs w:val="20"/>
        </w:rPr>
      </w:pPr>
      <w:r w:rsidRPr="00993DC7">
        <w:rPr>
          <w:rFonts w:ascii="Times New Roman" w:hAnsi="Times New Roman" w:cs="Times New Roman"/>
          <w:b/>
          <w:bCs/>
          <w:sz w:val="20"/>
          <w:szCs w:val="20"/>
          <w:rtl/>
        </w:rPr>
        <w:t>لا يُشترط على المتهم إثبات براءته أو تقديم أدلة ضده (المادة 74، الفقرة 1). ومع ذلك، فهو مُلزم بالخضوع لما يلي:</w:t>
      </w:r>
    </w:p>
    <w:p w14:paraId="5D01841F" w14:textId="77777777" w:rsidR="009776E6" w:rsidRPr="00993DC7" w:rsidRDefault="009776E6" w:rsidP="009776E6">
      <w:pPr>
        <w:bidi/>
        <w:spacing w:after="0" w:line="360" w:lineRule="auto"/>
        <w:jc w:val="both"/>
        <w:rPr>
          <w:rFonts w:ascii="Times New Roman" w:hAnsi="Times New Roman" w:cs="Times New Roman"/>
          <w:sz w:val="20"/>
          <w:szCs w:val="20"/>
          <w:rtl/>
        </w:rPr>
      </w:pPr>
      <w:r w:rsidRPr="00993DC7">
        <w:rPr>
          <w:rFonts w:ascii="Times New Roman" w:hAnsi="Times New Roman" w:cs="Times New Roman"/>
          <w:sz w:val="20"/>
          <w:szCs w:val="20"/>
          <w:rtl/>
        </w:rPr>
        <w:t>1) فحص جسدي وفحوصات لا تنطوي على إلحاق أذى جسدي، وأخذ بصمات الأصابع، والتصوير، وعرض الأدلة على الآخرين (المادة 74، الفقرة 2، البند 1).</w:t>
      </w:r>
    </w:p>
    <w:p w14:paraId="1E368204"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2) الفحوصات النفسية وال</w:t>
      </w:r>
      <w:r w:rsidRPr="00993DC7">
        <w:rPr>
          <w:rFonts w:ascii="Times New Roman" w:hAnsi="Times New Roman" w:cs="Times New Roman" w:hint="cs"/>
          <w:sz w:val="20"/>
          <w:szCs w:val="20"/>
          <w:rtl/>
        </w:rPr>
        <w:t>نفسانية</w:t>
      </w:r>
      <w:r w:rsidRPr="00993DC7">
        <w:rPr>
          <w:rFonts w:ascii="Times New Roman" w:hAnsi="Times New Roman" w:cs="Times New Roman"/>
          <w:sz w:val="20"/>
          <w:szCs w:val="20"/>
          <w:rtl/>
        </w:rPr>
        <w:t xml:space="preserve">، والفحوصات التي تتضمن إجراءات جسدية، باستثناء العمليات الجراحية، شريطة ألا تشكل خطرًا على الصحة، إذا كانت هذه الفحوصات ضرورية (وخاصة </w:t>
      </w:r>
      <w:r w:rsidRPr="00993DC7">
        <w:rPr>
          <w:rFonts w:ascii="Times New Roman" w:hAnsi="Times New Roman" w:cs="Times New Roman" w:hint="cs"/>
          <w:sz w:val="20"/>
          <w:szCs w:val="20"/>
          <w:rtl/>
        </w:rPr>
        <w:t>أخذ</w:t>
      </w:r>
      <w:r w:rsidRPr="00993DC7">
        <w:rPr>
          <w:rFonts w:ascii="Times New Roman" w:hAnsi="Times New Roman" w:cs="Times New Roman"/>
          <w:sz w:val="20"/>
          <w:szCs w:val="20"/>
          <w:rtl/>
        </w:rPr>
        <w:t xml:space="preserve"> عينات الدم أو الشعر أو إفرازات الجسم، مثل اللعاب)؛ ويجب أن </w:t>
      </w:r>
      <w:r w:rsidRPr="00993DC7">
        <w:rPr>
          <w:rFonts w:ascii="Times New Roman" w:hAnsi="Times New Roman" w:cs="Times New Roman" w:hint="cs"/>
          <w:sz w:val="20"/>
          <w:szCs w:val="20"/>
          <w:rtl/>
        </w:rPr>
        <w:t>ت</w:t>
      </w:r>
      <w:r w:rsidRPr="00993DC7">
        <w:rPr>
          <w:rFonts w:ascii="Times New Roman" w:hAnsi="Times New Roman" w:cs="Times New Roman"/>
          <w:sz w:val="20"/>
          <w:szCs w:val="20"/>
          <w:rtl/>
        </w:rPr>
        <w:t>ُجري هذه الفحوصات</w:t>
      </w:r>
      <w:r w:rsidRPr="00993DC7">
        <w:rPr>
          <w:rFonts w:ascii="Times New Roman" w:hAnsi="Times New Roman" w:cs="Times New Roman" w:hint="cs"/>
          <w:sz w:val="20"/>
          <w:szCs w:val="20"/>
          <w:rtl/>
        </w:rPr>
        <w:t xml:space="preserve"> من قبل</w:t>
      </w:r>
      <w:r w:rsidRPr="00993DC7">
        <w:rPr>
          <w:rFonts w:ascii="Times New Roman" w:hAnsi="Times New Roman" w:cs="Times New Roman"/>
          <w:sz w:val="20"/>
          <w:szCs w:val="20"/>
          <w:rtl/>
        </w:rPr>
        <w:t xml:space="preserve"> أخصائي رعاية صحية مرخص (المادة 74، الفقرة 2، البند 2)؛</w:t>
      </w:r>
    </w:p>
    <w:p w14:paraId="2C268462"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 xml:space="preserve">3) أخذ مسحة من </w:t>
      </w:r>
      <w:r w:rsidRPr="00993DC7">
        <w:rPr>
          <w:rFonts w:ascii="Times New Roman" w:hAnsi="Times New Roman" w:cs="Times New Roman" w:hint="cs"/>
          <w:sz w:val="20"/>
          <w:szCs w:val="20"/>
          <w:rtl/>
        </w:rPr>
        <w:t xml:space="preserve">غشاء </w:t>
      </w:r>
      <w:r w:rsidRPr="00993DC7">
        <w:rPr>
          <w:rFonts w:ascii="Times New Roman" w:hAnsi="Times New Roman" w:cs="Times New Roman"/>
          <w:sz w:val="20"/>
          <w:szCs w:val="20"/>
          <w:rtl/>
        </w:rPr>
        <w:t>الخد</w:t>
      </w:r>
      <w:r w:rsidRPr="00993DC7">
        <w:rPr>
          <w:rFonts w:ascii="Times New Roman" w:hAnsi="Times New Roman" w:cs="Times New Roman" w:hint="cs"/>
          <w:sz w:val="20"/>
          <w:szCs w:val="20"/>
          <w:rtl/>
        </w:rPr>
        <w:t xml:space="preserve"> المخاطي</w:t>
      </w:r>
      <w:r w:rsidRPr="00993DC7">
        <w:rPr>
          <w:rFonts w:ascii="Times New Roman" w:hAnsi="Times New Roman" w:cs="Times New Roman"/>
          <w:sz w:val="20"/>
          <w:szCs w:val="20"/>
          <w:rtl/>
        </w:rPr>
        <w:t xml:space="preserve"> بواسطة ضابط شرطة، إذا لزم الأمر ولم يكن ذلك خطرًا على الصحة (المادة 74، الفقرة 2، البند 3).</w:t>
      </w:r>
    </w:p>
    <w:p w14:paraId="5CB16E87"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قد يؤدي عدم الامتثال لهذه الالتزامات إلى احتجاز المتهم وإح</w:t>
      </w:r>
      <w:r w:rsidRPr="00993DC7">
        <w:rPr>
          <w:rFonts w:ascii="Times New Roman" w:hAnsi="Times New Roman" w:cs="Times New Roman" w:hint="cs"/>
          <w:sz w:val="20"/>
          <w:szCs w:val="20"/>
          <w:rtl/>
        </w:rPr>
        <w:t>ضاره</w:t>
      </w:r>
      <w:r w:rsidRPr="00993DC7">
        <w:rPr>
          <w:rFonts w:ascii="Times New Roman" w:hAnsi="Times New Roman" w:cs="Times New Roman"/>
          <w:sz w:val="20"/>
          <w:szCs w:val="20"/>
          <w:rtl/>
        </w:rPr>
        <w:t xml:space="preserve"> </w:t>
      </w:r>
      <w:r w:rsidRPr="00993DC7">
        <w:rPr>
          <w:rFonts w:ascii="Times New Roman" w:hAnsi="Times New Roman" w:cs="Times New Roman" w:hint="cs"/>
          <w:sz w:val="20"/>
          <w:szCs w:val="20"/>
          <w:rtl/>
        </w:rPr>
        <w:t>قسرا</w:t>
      </w:r>
      <w:r w:rsidRPr="00993DC7">
        <w:rPr>
          <w:rFonts w:ascii="Times New Roman" w:hAnsi="Times New Roman" w:cs="Times New Roman"/>
          <w:sz w:val="20"/>
          <w:szCs w:val="20"/>
          <w:rtl/>
        </w:rPr>
        <w:t>، وكذلك إلى استخدام القوة البدنية أو الوسائل التقنية للتقييد بالقدر اللازم (المادة 74، الفقرة 3</w:t>
      </w:r>
      <w:r w:rsidRPr="00993DC7">
        <w:rPr>
          <w:rFonts w:ascii="Times New Roman" w:hAnsi="Times New Roman" w:cs="Times New Roman" w:hint="cs"/>
          <w:sz w:val="20"/>
          <w:szCs w:val="20"/>
          <w:rtl/>
        </w:rPr>
        <w:t>"</w:t>
      </w:r>
      <w:r w:rsidRPr="00993DC7">
        <w:rPr>
          <w:rFonts w:ascii="Times New Roman" w:hAnsi="Times New Roman" w:cs="Times New Roman"/>
          <w:sz w:val="20"/>
          <w:szCs w:val="20"/>
          <w:rtl/>
        </w:rPr>
        <w:t>أ</w:t>
      </w:r>
      <w:r w:rsidRPr="00993DC7">
        <w:rPr>
          <w:rFonts w:ascii="Times New Roman" w:hAnsi="Times New Roman" w:cs="Times New Roman" w:hint="cs"/>
          <w:sz w:val="20"/>
          <w:szCs w:val="20"/>
          <w:rtl/>
        </w:rPr>
        <w:t>"</w:t>
      </w:r>
      <w:r w:rsidRPr="00993DC7">
        <w:rPr>
          <w:rFonts w:ascii="Times New Roman" w:hAnsi="Times New Roman" w:cs="Times New Roman"/>
          <w:sz w:val="20"/>
          <w:szCs w:val="20"/>
          <w:rtl/>
        </w:rPr>
        <w:t>).</w:t>
      </w:r>
    </w:p>
    <w:p w14:paraId="1DEA2376" w14:textId="77777777" w:rsidR="009776E6" w:rsidRPr="00993DC7" w:rsidRDefault="009776E6" w:rsidP="009776E6">
      <w:pPr>
        <w:bidi/>
        <w:spacing w:after="0" w:line="360" w:lineRule="auto"/>
        <w:jc w:val="both"/>
        <w:rPr>
          <w:rFonts w:ascii="Times New Roman" w:hAnsi="Times New Roman" w:cs="Times New Roman"/>
          <w:b/>
          <w:bCs/>
          <w:sz w:val="20"/>
          <w:szCs w:val="20"/>
        </w:rPr>
      </w:pPr>
      <w:r w:rsidRPr="00993DC7">
        <w:rPr>
          <w:rFonts w:ascii="Times New Roman" w:hAnsi="Times New Roman" w:cs="Times New Roman"/>
          <w:b/>
          <w:bCs/>
          <w:sz w:val="20"/>
          <w:szCs w:val="20"/>
          <w:rtl/>
        </w:rPr>
        <w:t>كما يلتزم المتهم بما يلي:</w:t>
      </w:r>
    </w:p>
    <w:p w14:paraId="3A5F275B"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1) الحضور عند كل استدعاء وإبلاغ المحكمة بأي تغيير في محل ال</w:t>
      </w:r>
      <w:r w:rsidRPr="00993DC7">
        <w:rPr>
          <w:rFonts w:ascii="Times New Roman" w:hAnsi="Times New Roman" w:cs="Times New Roman" w:hint="cs"/>
          <w:sz w:val="20"/>
          <w:szCs w:val="20"/>
          <w:rtl/>
        </w:rPr>
        <w:t>سكن</w:t>
      </w:r>
      <w:r w:rsidRPr="00993DC7">
        <w:rPr>
          <w:rFonts w:ascii="Times New Roman" w:hAnsi="Times New Roman" w:cs="Times New Roman"/>
          <w:sz w:val="20"/>
          <w:szCs w:val="20"/>
          <w:rtl/>
        </w:rPr>
        <w:t xml:space="preserve"> أو </w:t>
      </w:r>
      <w:r w:rsidRPr="00993DC7">
        <w:rPr>
          <w:rFonts w:ascii="Times New Roman" w:hAnsi="Times New Roman" w:cs="Times New Roman" w:hint="cs"/>
          <w:sz w:val="20"/>
          <w:szCs w:val="20"/>
          <w:rtl/>
        </w:rPr>
        <w:t>ال</w:t>
      </w:r>
      <w:r w:rsidRPr="00993DC7">
        <w:rPr>
          <w:rFonts w:ascii="Times New Roman" w:hAnsi="Times New Roman" w:cs="Times New Roman"/>
          <w:sz w:val="20"/>
          <w:szCs w:val="20"/>
          <w:rtl/>
        </w:rPr>
        <w:t xml:space="preserve">إقامة </w:t>
      </w:r>
      <w:r w:rsidRPr="00993DC7">
        <w:rPr>
          <w:rFonts w:ascii="Times New Roman" w:hAnsi="Times New Roman" w:cs="Times New Roman" w:hint="cs"/>
          <w:sz w:val="20"/>
          <w:szCs w:val="20"/>
          <w:rtl/>
        </w:rPr>
        <w:t xml:space="preserve">التي </w:t>
      </w:r>
      <w:r w:rsidRPr="00993DC7">
        <w:rPr>
          <w:rFonts w:ascii="Times New Roman" w:hAnsi="Times New Roman" w:cs="Times New Roman"/>
          <w:sz w:val="20"/>
          <w:szCs w:val="20"/>
          <w:rtl/>
        </w:rPr>
        <w:t>تزيد مدتها عن سبعة أيام، بما في ذلك بسبب الحرمان من الحرية في قضية أخرى؛ في حال عدم المثول أمام المحكمة، يجوز احتجاز المتهم وإحضاره بالقوة (المادة 75، الفقرتان 1 و2)؛</w:t>
      </w:r>
    </w:p>
    <w:p w14:paraId="6F759E74" w14:textId="77777777" w:rsidR="009776E6" w:rsidRPr="00993DC7" w:rsidRDefault="009776E6" w:rsidP="009776E6">
      <w:pPr>
        <w:bidi/>
        <w:spacing w:after="0" w:line="360" w:lineRule="auto"/>
        <w:jc w:val="both"/>
        <w:rPr>
          <w:rFonts w:ascii="Times New Roman" w:hAnsi="Times New Roman" w:cs="Times New Roman"/>
          <w:sz w:val="20"/>
          <w:szCs w:val="20"/>
          <w:rtl/>
        </w:rPr>
      </w:pPr>
      <w:r w:rsidRPr="00993DC7">
        <w:rPr>
          <w:rFonts w:ascii="Times New Roman" w:hAnsi="Times New Roman" w:cs="Times New Roman"/>
          <w:sz w:val="20"/>
          <w:szCs w:val="20"/>
          <w:rtl/>
        </w:rPr>
        <w:t>2) تقديم عنوان لإرسال المراسلات إليه، بما في ذلك صندوق بريد (المادة 132، الفقرتان 1 و2)؛ وإلا، تُعقد ال</w:t>
      </w:r>
      <w:r w:rsidRPr="00993DC7">
        <w:rPr>
          <w:rFonts w:ascii="Times New Roman" w:hAnsi="Times New Roman" w:cs="Times New Roman" w:hint="cs"/>
          <w:sz w:val="20"/>
          <w:szCs w:val="20"/>
          <w:rtl/>
        </w:rPr>
        <w:t>إجراءات</w:t>
      </w:r>
      <w:r w:rsidRPr="00993DC7">
        <w:rPr>
          <w:rFonts w:ascii="Times New Roman" w:hAnsi="Times New Roman" w:cs="Times New Roman"/>
          <w:sz w:val="20"/>
          <w:szCs w:val="20"/>
          <w:rtl/>
        </w:rPr>
        <w:t xml:space="preserve"> أو جلسة</w:t>
      </w:r>
      <w:r w:rsidRPr="00993DC7">
        <w:rPr>
          <w:rFonts w:ascii="Times New Roman" w:hAnsi="Times New Roman" w:cs="Times New Roman" w:hint="cs"/>
          <w:sz w:val="20"/>
          <w:szCs w:val="20"/>
          <w:rtl/>
        </w:rPr>
        <w:t xml:space="preserve"> المحاكمة</w:t>
      </w:r>
      <w:r w:rsidRPr="00993DC7">
        <w:rPr>
          <w:rFonts w:ascii="Times New Roman" w:hAnsi="Times New Roman" w:cs="Times New Roman"/>
          <w:sz w:val="20"/>
          <w:szCs w:val="20"/>
          <w:rtl/>
        </w:rPr>
        <w:t xml:space="preserve"> في غياب المتهم؛ كما أن عدم تقديم عنوان قد يحول دون تقديم طلب أو شكوى أو استئناف بسبب انقضاء المهل (المادة 133، الفقرة 2)؛</w:t>
      </w:r>
    </w:p>
    <w:p w14:paraId="0E4CC486"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lastRenderedPageBreak/>
        <w:t xml:space="preserve">3) تحديد المرسل إليه للتبليغ في بولندا أو في دولة أخرى من دول الاتحاد الأوروبي إذا لم يكن الشخص موجودًا في بولندا أو في دولة أخرى من دول الاتحاد الأوروبي؛ وإلا، يُعتبر المستند المرسل إلى آخر عنوان معروف في بولندا أو في دولة أخرى من دول الاتحاد الأوروبي </w:t>
      </w:r>
      <w:r w:rsidRPr="00993DC7">
        <w:rPr>
          <w:rFonts w:ascii="Times New Roman" w:hAnsi="Times New Roman" w:cs="Times New Roman" w:hint="cs"/>
          <w:sz w:val="20"/>
          <w:szCs w:val="20"/>
          <w:rtl/>
        </w:rPr>
        <w:t xml:space="preserve">على أنه </w:t>
      </w:r>
      <w:r w:rsidRPr="00993DC7">
        <w:rPr>
          <w:rFonts w:ascii="Times New Roman" w:hAnsi="Times New Roman" w:cs="Times New Roman"/>
          <w:sz w:val="20"/>
          <w:szCs w:val="20"/>
          <w:rtl/>
        </w:rPr>
        <w:t>قد تم تبليغه فعليًا، وتُعقد الإجراءات أو جلسة</w:t>
      </w:r>
      <w:r w:rsidRPr="00993DC7">
        <w:rPr>
          <w:rFonts w:ascii="Times New Roman" w:hAnsi="Times New Roman" w:cs="Times New Roman" w:hint="cs"/>
          <w:sz w:val="20"/>
          <w:szCs w:val="20"/>
          <w:rtl/>
        </w:rPr>
        <w:t xml:space="preserve"> المحاكمة</w:t>
      </w:r>
      <w:r w:rsidRPr="00993DC7">
        <w:rPr>
          <w:rFonts w:ascii="Times New Roman" w:hAnsi="Times New Roman" w:cs="Times New Roman"/>
          <w:sz w:val="20"/>
          <w:szCs w:val="20"/>
          <w:rtl/>
        </w:rPr>
        <w:t xml:space="preserve"> في غياب الم</w:t>
      </w:r>
      <w:r w:rsidRPr="00993DC7">
        <w:rPr>
          <w:rFonts w:ascii="Times New Roman" w:hAnsi="Times New Roman" w:cs="Times New Roman" w:hint="cs"/>
          <w:sz w:val="20"/>
          <w:szCs w:val="20"/>
          <w:rtl/>
        </w:rPr>
        <w:t>تهم</w:t>
      </w:r>
      <w:r w:rsidRPr="00993DC7">
        <w:rPr>
          <w:rFonts w:ascii="Times New Roman" w:hAnsi="Times New Roman" w:cs="Times New Roman"/>
          <w:sz w:val="20"/>
          <w:szCs w:val="20"/>
          <w:rtl/>
        </w:rPr>
        <w:t xml:space="preserve">. </w:t>
      </w:r>
      <w:r w:rsidRPr="00993DC7">
        <w:rPr>
          <w:rFonts w:ascii="Times New Roman" w:hAnsi="Times New Roman" w:cs="Times New Roman" w:hint="cs"/>
          <w:sz w:val="20"/>
          <w:szCs w:val="20"/>
          <w:rtl/>
        </w:rPr>
        <w:t xml:space="preserve">كما </w:t>
      </w:r>
      <w:r w:rsidRPr="00993DC7">
        <w:rPr>
          <w:rFonts w:ascii="Times New Roman" w:hAnsi="Times New Roman" w:cs="Times New Roman"/>
          <w:sz w:val="20"/>
          <w:szCs w:val="20"/>
          <w:rtl/>
        </w:rPr>
        <w:t>قد يؤدي عدم تقديم عنوان إلى منع تقديم طلب أو شكوى أو استئناف بسبب انقضاء المهل القانونية (المادة</w:t>
      </w:r>
      <w:r w:rsidRPr="00993DC7">
        <w:rPr>
          <w:rFonts w:ascii="Times New Roman" w:hAnsi="Times New Roman" w:cs="Times New Roman" w:hint="cs"/>
          <w:sz w:val="20"/>
          <w:szCs w:val="20"/>
          <w:rtl/>
        </w:rPr>
        <w:t xml:space="preserve"> 138</w:t>
      </w:r>
      <w:r w:rsidRPr="00993DC7">
        <w:rPr>
          <w:rFonts w:ascii="Times New Roman" w:hAnsi="Times New Roman" w:cs="Times New Roman"/>
          <w:sz w:val="20"/>
          <w:szCs w:val="20"/>
          <w:rtl/>
        </w:rPr>
        <w:t>)؛</w:t>
      </w:r>
    </w:p>
    <w:p w14:paraId="321C103D" w14:textId="77777777" w:rsidR="009776E6" w:rsidRPr="00993DC7" w:rsidRDefault="009776E6" w:rsidP="009776E6">
      <w:pPr>
        <w:bidi/>
        <w:spacing w:after="0" w:line="360" w:lineRule="auto"/>
        <w:jc w:val="both"/>
        <w:rPr>
          <w:rFonts w:ascii="Times New Roman" w:hAnsi="Times New Roman" w:cs="Times New Roman"/>
          <w:sz w:val="20"/>
          <w:szCs w:val="20"/>
          <w:rtl/>
        </w:rPr>
      </w:pPr>
      <w:r w:rsidRPr="00993DC7">
        <w:rPr>
          <w:rFonts w:ascii="Times New Roman" w:hAnsi="Times New Roman" w:cs="Times New Roman" w:hint="cs"/>
          <w:sz w:val="20"/>
          <w:szCs w:val="20"/>
          <w:rtl/>
        </w:rPr>
        <w:t>4</w:t>
      </w:r>
      <w:r w:rsidRPr="00993DC7">
        <w:rPr>
          <w:rFonts w:ascii="Times New Roman" w:hAnsi="Times New Roman" w:cs="Times New Roman"/>
          <w:sz w:val="20"/>
          <w:szCs w:val="20"/>
          <w:rtl/>
        </w:rPr>
        <w:t>) تقديم عنوان جديد في حال تغيير محل ال</w:t>
      </w:r>
      <w:r w:rsidRPr="00993DC7">
        <w:rPr>
          <w:rFonts w:ascii="Times New Roman" w:hAnsi="Times New Roman" w:cs="Times New Roman" w:hint="cs"/>
          <w:sz w:val="20"/>
          <w:szCs w:val="20"/>
          <w:rtl/>
        </w:rPr>
        <w:t>سكن</w:t>
      </w:r>
      <w:r w:rsidRPr="00993DC7">
        <w:rPr>
          <w:rFonts w:ascii="Times New Roman" w:hAnsi="Times New Roman" w:cs="Times New Roman"/>
          <w:sz w:val="20"/>
          <w:szCs w:val="20"/>
          <w:rtl/>
        </w:rPr>
        <w:t xml:space="preserve"> أو مكان الإقامة، بما في ذلك بسبب ال</w:t>
      </w:r>
      <w:r w:rsidRPr="00993DC7">
        <w:rPr>
          <w:rFonts w:ascii="Times New Roman" w:hAnsi="Times New Roman" w:cs="Times New Roman" w:hint="cs"/>
          <w:sz w:val="20"/>
          <w:szCs w:val="20"/>
          <w:rtl/>
        </w:rPr>
        <w:t>حرمان من الحرية</w:t>
      </w:r>
      <w:r w:rsidRPr="00993DC7">
        <w:rPr>
          <w:rFonts w:ascii="Times New Roman" w:hAnsi="Times New Roman" w:cs="Times New Roman"/>
          <w:sz w:val="20"/>
          <w:szCs w:val="20"/>
          <w:rtl/>
        </w:rPr>
        <w:t xml:space="preserve"> في قضية أخرى؛ وإلا، يُعتبر المستند المُرسل إلى العنوان السابق مُبلَّغًا بشكل صحيح، وتُعقد الإجراءات أو جلسة</w:t>
      </w:r>
      <w:r w:rsidRPr="00993DC7">
        <w:rPr>
          <w:rFonts w:ascii="Times New Roman" w:hAnsi="Times New Roman" w:cs="Times New Roman" w:hint="cs"/>
          <w:sz w:val="20"/>
          <w:szCs w:val="20"/>
          <w:rtl/>
        </w:rPr>
        <w:t xml:space="preserve"> المحاكمة</w:t>
      </w:r>
      <w:r w:rsidRPr="00993DC7">
        <w:rPr>
          <w:rFonts w:ascii="Times New Roman" w:hAnsi="Times New Roman" w:cs="Times New Roman"/>
          <w:sz w:val="20"/>
          <w:szCs w:val="20"/>
          <w:rtl/>
        </w:rPr>
        <w:t xml:space="preserve"> في غياب الم</w:t>
      </w:r>
      <w:r w:rsidRPr="00993DC7">
        <w:rPr>
          <w:rFonts w:ascii="Times New Roman" w:hAnsi="Times New Roman" w:cs="Times New Roman" w:hint="cs"/>
          <w:sz w:val="20"/>
          <w:szCs w:val="20"/>
          <w:rtl/>
        </w:rPr>
        <w:t>تهم</w:t>
      </w:r>
      <w:r w:rsidRPr="00993DC7">
        <w:rPr>
          <w:rFonts w:ascii="Times New Roman" w:hAnsi="Times New Roman" w:cs="Times New Roman"/>
          <w:sz w:val="20"/>
          <w:szCs w:val="20"/>
          <w:rtl/>
        </w:rPr>
        <w:t>؛ كما قد يؤدي عدم تقديم عنوان إلى منع تقديم طلب أو شكوى أو استئناف بسبب انقضاء المهل القانونية؛ وينطبق هذا أيضًا على الم</w:t>
      </w:r>
      <w:r w:rsidRPr="00993DC7">
        <w:rPr>
          <w:rFonts w:ascii="Times New Roman" w:hAnsi="Times New Roman" w:cs="Times New Roman" w:hint="cs"/>
          <w:sz w:val="20"/>
          <w:szCs w:val="20"/>
          <w:rtl/>
        </w:rPr>
        <w:t>تهم</w:t>
      </w:r>
      <w:r w:rsidRPr="00993DC7">
        <w:rPr>
          <w:rFonts w:ascii="Times New Roman" w:hAnsi="Times New Roman" w:cs="Times New Roman"/>
          <w:sz w:val="20"/>
          <w:szCs w:val="20"/>
          <w:rtl/>
        </w:rPr>
        <w:t xml:space="preserve"> الذي طلب </w:t>
      </w:r>
      <w:r w:rsidRPr="00993DC7">
        <w:rPr>
          <w:rFonts w:ascii="Times New Roman" w:hAnsi="Times New Roman" w:cs="Times New Roman" w:hint="cs"/>
          <w:sz w:val="20"/>
          <w:szCs w:val="20"/>
          <w:rtl/>
        </w:rPr>
        <w:t xml:space="preserve">إجراء </w:t>
      </w:r>
      <w:r w:rsidRPr="00993DC7">
        <w:rPr>
          <w:rFonts w:ascii="Times New Roman" w:hAnsi="Times New Roman" w:cs="Times New Roman"/>
          <w:sz w:val="20"/>
          <w:szCs w:val="20"/>
          <w:rtl/>
        </w:rPr>
        <w:t>التبليغ</w:t>
      </w:r>
      <w:r w:rsidRPr="00993DC7">
        <w:rPr>
          <w:rFonts w:ascii="Times New Roman" w:hAnsi="Times New Roman" w:cs="Times New Roman" w:hint="cs"/>
          <w:sz w:val="20"/>
          <w:szCs w:val="20"/>
          <w:rtl/>
        </w:rPr>
        <w:t>ات</w:t>
      </w:r>
      <w:r w:rsidRPr="00993DC7">
        <w:rPr>
          <w:rFonts w:ascii="Times New Roman" w:hAnsi="Times New Roman" w:cs="Times New Roman"/>
          <w:sz w:val="20"/>
          <w:szCs w:val="20"/>
          <w:rtl/>
        </w:rPr>
        <w:t xml:space="preserve"> إلى عنوان صندوق بريد محدد ولم يخطر السلطة بتغيير هذا العنوان أو التوقف عن استخدامه (المادة</w:t>
      </w:r>
      <w:r w:rsidRPr="00993DC7">
        <w:rPr>
          <w:rFonts w:ascii="Times New Roman" w:hAnsi="Times New Roman" w:cs="Times New Roman" w:hint="cs"/>
          <w:sz w:val="20"/>
          <w:szCs w:val="20"/>
          <w:rtl/>
        </w:rPr>
        <w:t xml:space="preserve"> 139</w:t>
      </w:r>
      <w:r w:rsidRPr="00993DC7">
        <w:rPr>
          <w:rFonts w:ascii="Times New Roman" w:hAnsi="Times New Roman" w:cs="Times New Roman"/>
          <w:sz w:val="20"/>
          <w:szCs w:val="20"/>
          <w:rtl/>
        </w:rPr>
        <w:t>).</w:t>
      </w:r>
    </w:p>
    <w:p w14:paraId="79A7B98A"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ويُعد الإعلان عن أمر تحديد مواعيد جلسات</w:t>
      </w:r>
      <w:r w:rsidRPr="00993DC7">
        <w:rPr>
          <w:rFonts w:ascii="Times New Roman" w:hAnsi="Times New Roman" w:cs="Times New Roman" w:hint="cs"/>
          <w:sz w:val="20"/>
          <w:szCs w:val="20"/>
          <w:rtl/>
        </w:rPr>
        <w:t xml:space="preserve"> المحاكمة</w:t>
      </w:r>
      <w:r w:rsidRPr="00993DC7">
        <w:rPr>
          <w:rFonts w:ascii="Times New Roman" w:hAnsi="Times New Roman" w:cs="Times New Roman"/>
          <w:sz w:val="20"/>
          <w:szCs w:val="20"/>
          <w:rtl/>
        </w:rPr>
        <w:t xml:space="preserve"> بمثابة استدعاء للمشاركين في الإجراءات لحضور الجلسة أو إخطارهم بمواعيدها (المادة</w:t>
      </w:r>
      <w:r w:rsidRPr="00993DC7">
        <w:rPr>
          <w:rFonts w:ascii="Times New Roman" w:hAnsi="Times New Roman" w:cs="Times New Roman" w:hint="cs"/>
          <w:sz w:val="20"/>
          <w:szCs w:val="20"/>
          <w:rtl/>
        </w:rPr>
        <w:t xml:space="preserve"> 349</w:t>
      </w:r>
      <w:r w:rsidRPr="00993DC7">
        <w:rPr>
          <w:rFonts w:ascii="Times New Roman" w:hAnsi="Times New Roman" w:cs="Times New Roman"/>
          <w:sz w:val="20"/>
          <w:szCs w:val="20"/>
          <w:rtl/>
        </w:rPr>
        <w:t xml:space="preserve"> الفقرة</w:t>
      </w:r>
      <w:r w:rsidRPr="00993DC7">
        <w:rPr>
          <w:rFonts w:ascii="Times New Roman" w:hAnsi="Times New Roman" w:cs="Times New Roman" w:hint="cs"/>
          <w:sz w:val="20"/>
          <w:szCs w:val="20"/>
          <w:rtl/>
        </w:rPr>
        <w:t xml:space="preserve"> 8</w:t>
      </w:r>
      <w:r w:rsidRPr="00993DC7">
        <w:rPr>
          <w:rFonts w:ascii="Times New Roman" w:hAnsi="Times New Roman" w:cs="Times New Roman"/>
          <w:sz w:val="20"/>
          <w:szCs w:val="20"/>
          <w:rtl/>
        </w:rPr>
        <w:t>).</w:t>
      </w:r>
    </w:p>
    <w:p w14:paraId="3285EAFB" w14:textId="77777777" w:rsidR="009776E6" w:rsidRPr="00993DC7" w:rsidRDefault="009776E6" w:rsidP="009776E6">
      <w:pPr>
        <w:bidi/>
        <w:spacing w:after="0" w:line="360" w:lineRule="auto"/>
        <w:jc w:val="both"/>
        <w:rPr>
          <w:rFonts w:ascii="Times New Roman" w:hAnsi="Times New Roman" w:cs="Times New Roman"/>
          <w:sz w:val="20"/>
          <w:szCs w:val="20"/>
        </w:rPr>
      </w:pPr>
      <w:r w:rsidRPr="00993DC7">
        <w:rPr>
          <w:rFonts w:ascii="Times New Roman" w:hAnsi="Times New Roman" w:cs="Times New Roman"/>
          <w:sz w:val="20"/>
          <w:szCs w:val="20"/>
          <w:rtl/>
        </w:rPr>
        <w:t>إذا اتُهم المتهم ب</w:t>
      </w:r>
      <w:r w:rsidRPr="00993DC7">
        <w:rPr>
          <w:rFonts w:ascii="Times New Roman" w:hAnsi="Times New Roman" w:cs="Times New Roman" w:hint="cs"/>
          <w:sz w:val="20"/>
          <w:szCs w:val="20"/>
          <w:rtl/>
        </w:rPr>
        <w:t xml:space="preserve">ارتكاب </w:t>
      </w:r>
      <w:r w:rsidRPr="00993DC7">
        <w:rPr>
          <w:rFonts w:ascii="Times New Roman" w:hAnsi="Times New Roman" w:cs="Times New Roman"/>
          <w:sz w:val="20"/>
          <w:szCs w:val="20"/>
          <w:rtl/>
        </w:rPr>
        <w:t>جريمة تستوجب غرامة أو تعويضًا ماليًا أو مصادرة أو ردًّا للمنفعة المالية التي جناها مرتكب الجريمة، أو ما يعادلها، إلى الطرف المتضرر أو أي جهة أخرى مستحقة، جاز فرض ضمان لتنفيذ هذا الحكم تلقائيًا على أموال المتهم أو الجهات الأخرى التي يحددها القانون، إذا كان هناك خشية معقولة من استحالة تنفيذ الحكم أو تفاقم صعوبته بشكل كبير في غياب هذا الضمان. وللأسباب نفسها، يجوز أيضًا فرض ضمان لتنفيذ حكم بشأن تكاليف المحكمة تلقائيًا على أموال المتهم (المادة 291، الفقرات 1-3).</w:t>
      </w:r>
    </w:p>
    <w:p w14:paraId="56945ECC" w14:textId="77777777" w:rsidR="009776E6" w:rsidRPr="00993DC7" w:rsidRDefault="009776E6" w:rsidP="009776E6">
      <w:pPr>
        <w:bidi/>
        <w:spacing w:after="0" w:line="360" w:lineRule="auto"/>
        <w:jc w:val="both"/>
        <w:rPr>
          <w:rFonts w:ascii="Times New Roman" w:hAnsi="Times New Roman" w:cs="Times New Roman"/>
          <w:sz w:val="20"/>
          <w:szCs w:val="20"/>
          <w:rtl/>
        </w:rPr>
      </w:pPr>
    </w:p>
    <w:p w14:paraId="15059A1E" w14:textId="77777777" w:rsidR="009776E6" w:rsidRDefault="009776E6" w:rsidP="009776E6">
      <w:pPr>
        <w:bidi/>
        <w:spacing w:after="0" w:line="360" w:lineRule="auto"/>
        <w:jc w:val="both"/>
        <w:rPr>
          <w:rFonts w:ascii="Times New Roman" w:hAnsi="Times New Roman" w:cs="Times New Roman"/>
          <w:rtl/>
        </w:rPr>
      </w:pPr>
    </w:p>
    <w:p w14:paraId="12F63ADB" w14:textId="77777777" w:rsidR="009776E6" w:rsidRDefault="009776E6" w:rsidP="009776E6">
      <w:pPr>
        <w:bidi/>
        <w:spacing w:after="0" w:line="360" w:lineRule="auto"/>
        <w:jc w:val="both"/>
        <w:rPr>
          <w:rFonts w:ascii="Times New Roman" w:hAnsi="Times New Roman" w:cs="Times New Roman"/>
          <w:rtl/>
        </w:rPr>
      </w:pPr>
    </w:p>
    <w:p w14:paraId="0B3CA1C1" w14:textId="77777777" w:rsidR="009776E6" w:rsidRPr="00E31EC4" w:rsidRDefault="009776E6" w:rsidP="009776E6">
      <w:pPr>
        <w:bidi/>
        <w:spacing w:after="0" w:line="360" w:lineRule="auto"/>
        <w:jc w:val="both"/>
        <w:rPr>
          <w:rFonts w:ascii="Times New Roman" w:hAnsi="Times New Roman" w:cs="Times New Roman"/>
          <w:sz w:val="16"/>
          <w:szCs w:val="16"/>
        </w:rPr>
      </w:pPr>
      <w:r w:rsidRPr="00046B35">
        <w:rPr>
          <w:rFonts w:ascii="Times New Roman" w:hAnsi="Times New Roman" w:cs="Times New Roman"/>
          <w:sz w:val="20"/>
          <w:szCs w:val="20"/>
          <w:vertAlign w:val="superscript"/>
          <w:rtl/>
        </w:rPr>
        <w:t>1</w:t>
      </w:r>
      <w:r w:rsidRPr="00E31EC4">
        <w:rPr>
          <w:rFonts w:ascii="Times New Roman" w:hAnsi="Times New Roman" w:cs="Times New Roman"/>
          <w:sz w:val="16"/>
          <w:szCs w:val="16"/>
          <w:rtl/>
        </w:rPr>
        <w:t xml:space="preserve">) </w:t>
      </w:r>
      <w:r w:rsidRPr="00E31EC4">
        <w:rPr>
          <w:rFonts w:ascii="Times New Roman" w:hAnsi="Times New Roman" w:cs="Times New Roman" w:hint="cs"/>
          <w:sz w:val="16"/>
          <w:szCs w:val="16"/>
          <w:rtl/>
        </w:rPr>
        <w:t xml:space="preserve">يتم </w:t>
      </w:r>
      <w:r w:rsidRPr="00E31EC4">
        <w:rPr>
          <w:rFonts w:ascii="Times New Roman" w:hAnsi="Times New Roman" w:cs="Times New Roman"/>
          <w:sz w:val="16"/>
          <w:szCs w:val="16"/>
          <w:rtl/>
        </w:rPr>
        <w:t>اخت</w:t>
      </w:r>
      <w:r w:rsidRPr="00E31EC4">
        <w:rPr>
          <w:rFonts w:ascii="Times New Roman" w:hAnsi="Times New Roman" w:cs="Times New Roman" w:hint="cs"/>
          <w:sz w:val="16"/>
          <w:szCs w:val="16"/>
          <w:rtl/>
        </w:rPr>
        <w:t>يا</w:t>
      </w:r>
      <w:r w:rsidRPr="00E31EC4">
        <w:rPr>
          <w:rFonts w:ascii="Times New Roman" w:hAnsi="Times New Roman" w:cs="Times New Roman"/>
          <w:sz w:val="16"/>
          <w:szCs w:val="16"/>
          <w:rtl/>
        </w:rPr>
        <w:t>ر العبارة المناسبة؛</w:t>
      </w:r>
    </w:p>
    <w:p w14:paraId="12EBB187" w14:textId="1F0889D0" w:rsidR="00B455FC" w:rsidRPr="00E31EC4" w:rsidRDefault="009776E6" w:rsidP="009776E6">
      <w:pPr>
        <w:bidi/>
        <w:spacing w:after="0" w:line="360" w:lineRule="auto"/>
        <w:jc w:val="both"/>
        <w:rPr>
          <w:sz w:val="16"/>
          <w:szCs w:val="16"/>
        </w:rPr>
      </w:pPr>
      <w:r w:rsidRPr="00E31EC4">
        <w:rPr>
          <w:rFonts w:ascii="Times New Roman" w:hAnsi="Times New Roman" w:cs="Times New Roman"/>
          <w:sz w:val="16"/>
          <w:szCs w:val="16"/>
          <w:vertAlign w:val="superscript"/>
          <w:rtl/>
        </w:rPr>
        <w:t>2</w:t>
      </w:r>
      <w:r w:rsidRPr="00E31EC4">
        <w:rPr>
          <w:rFonts w:ascii="Times New Roman" w:hAnsi="Times New Roman" w:cs="Times New Roman"/>
          <w:sz w:val="16"/>
          <w:szCs w:val="16"/>
          <w:rtl/>
        </w:rPr>
        <w:t xml:space="preserve">) ما لم يُذكر أساس قانوني آخر، فإن الأحكام بين قوسين تشير إلى المواد ذات الصلة من </w:t>
      </w:r>
      <w:r w:rsidRPr="00E31EC4">
        <w:rPr>
          <w:rFonts w:ascii="Times New Roman" w:hAnsi="Times New Roman" w:cs="Times New Roman" w:hint="cs"/>
          <w:sz w:val="16"/>
          <w:szCs w:val="16"/>
          <w:rtl/>
        </w:rPr>
        <w:t>ال</w:t>
      </w:r>
      <w:r w:rsidRPr="00E31EC4">
        <w:rPr>
          <w:rFonts w:ascii="Times New Roman" w:hAnsi="Times New Roman" w:cs="Times New Roman"/>
          <w:sz w:val="16"/>
          <w:szCs w:val="16"/>
          <w:rtl/>
        </w:rPr>
        <w:t>قانون</w:t>
      </w:r>
      <w:r w:rsidRPr="00E31EC4">
        <w:rPr>
          <w:rFonts w:ascii="Times New Roman" w:hAnsi="Times New Roman" w:cs="Times New Roman" w:hint="cs"/>
          <w:sz w:val="16"/>
          <w:szCs w:val="16"/>
          <w:rtl/>
        </w:rPr>
        <w:t xml:space="preserve"> الصادر في</w:t>
      </w:r>
      <w:r w:rsidRPr="00E31EC4">
        <w:rPr>
          <w:rFonts w:ascii="Times New Roman" w:hAnsi="Times New Roman" w:cs="Times New Roman"/>
          <w:sz w:val="16"/>
          <w:szCs w:val="16"/>
          <w:rtl/>
        </w:rPr>
        <w:t xml:space="preserve"> 6 يونيو</w:t>
      </w:r>
      <w:r w:rsidRPr="00E31EC4">
        <w:rPr>
          <w:rFonts w:ascii="Times New Roman" w:hAnsi="Times New Roman" w:cs="Times New Roman" w:hint="cs"/>
          <w:sz w:val="16"/>
          <w:szCs w:val="16"/>
          <w:rtl/>
        </w:rPr>
        <w:t xml:space="preserve"> / حزيران</w:t>
      </w:r>
      <w:r w:rsidRPr="00E31EC4">
        <w:rPr>
          <w:rFonts w:ascii="Times New Roman" w:hAnsi="Times New Roman" w:cs="Times New Roman"/>
          <w:sz w:val="16"/>
          <w:szCs w:val="16"/>
          <w:rtl/>
        </w:rPr>
        <w:t xml:space="preserve"> 1997</w:t>
      </w:r>
      <w:r w:rsidRPr="00E31EC4">
        <w:rPr>
          <w:rFonts w:ascii="Times New Roman" w:hAnsi="Times New Roman" w:cs="Times New Roman" w:hint="cs"/>
          <w:sz w:val="16"/>
          <w:szCs w:val="16"/>
          <w:rtl/>
        </w:rPr>
        <w:t>م</w:t>
      </w:r>
      <w:r w:rsidRPr="00E31EC4">
        <w:rPr>
          <w:rFonts w:ascii="Times New Roman" w:hAnsi="Times New Roman" w:cs="Times New Roman"/>
          <w:sz w:val="16"/>
          <w:szCs w:val="16"/>
          <w:rtl/>
        </w:rPr>
        <w:t xml:space="preserve"> - قانون الإجراءات الجنائية (الجريدة الرسمية لعام 2018، البند 1987، بصيغته المعدلة).</w:t>
      </w:r>
    </w:p>
    <w:sectPr w:rsidR="00B455FC" w:rsidRPr="00E31EC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D5DC7" w14:textId="77777777" w:rsidR="00C93C81" w:rsidRDefault="00C93C81" w:rsidP="00C93C81">
      <w:pPr>
        <w:spacing w:after="0" w:line="240" w:lineRule="auto"/>
      </w:pPr>
      <w:r>
        <w:separator/>
      </w:r>
    </w:p>
  </w:endnote>
  <w:endnote w:type="continuationSeparator" w:id="0">
    <w:p w14:paraId="407F60D6" w14:textId="77777777" w:rsidR="00C93C81" w:rsidRDefault="00C93C81" w:rsidP="00C93C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EE"/>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70D31" w14:textId="77777777" w:rsidR="00C93C81" w:rsidRDefault="00C93C81" w:rsidP="00C93C81">
      <w:pPr>
        <w:spacing w:after="0" w:line="240" w:lineRule="auto"/>
      </w:pPr>
      <w:r>
        <w:separator/>
      </w:r>
    </w:p>
  </w:footnote>
  <w:footnote w:type="continuationSeparator" w:id="0">
    <w:p w14:paraId="0AEF091A" w14:textId="77777777" w:rsidR="00C93C81" w:rsidRDefault="00C93C81" w:rsidP="00C93C8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B455FC"/>
    <w:rsid w:val="000C68A4"/>
    <w:rsid w:val="00591FE0"/>
    <w:rsid w:val="006E3A3E"/>
    <w:rsid w:val="008605A2"/>
    <w:rsid w:val="009776E6"/>
    <w:rsid w:val="00993DC7"/>
    <w:rsid w:val="00B455FC"/>
    <w:rsid w:val="00C93C81"/>
    <w:rsid w:val="00E31EC4"/>
  </w:rsids>
  <m:mathPr>
    <m:mathFont m:val="Cambria Math"/>
    <m:brkBin m:val="before"/>
    <m:brkBinSub m:val="--"/>
    <m:smallFrac m:val="0"/>
    <m:dispDef/>
    <m:lMargin m:val="0"/>
    <m:rMargin m:val="0"/>
    <m:defJc m:val="centerGroup"/>
    <m:wrapIndent m:val="1440"/>
    <m:intLim m:val="subSup"/>
    <m:naryLim m:val="undOvr"/>
  </m:mathPr>
  <w:themeFontLang w:val="pl-PL"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9652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776E6"/>
    <w:pPr>
      <w:spacing w:line="259" w:lineRule="auto"/>
    </w:pPr>
    <w:rPr>
      <w:kern w:val="0"/>
      <w:sz w:val="22"/>
      <w:szCs w:val="22"/>
      <w14:ligatures w14:val="none"/>
    </w:rPr>
  </w:style>
  <w:style w:type="paragraph" w:styleId="Nagwek1">
    <w:name w:val="heading 1"/>
    <w:basedOn w:val="Normalny"/>
    <w:next w:val="Normalny"/>
    <w:link w:val="Nagwek1Znak"/>
    <w:uiPriority w:val="9"/>
    <w:qFormat/>
    <w:rsid w:val="00B455FC"/>
    <w:pPr>
      <w:keepNext/>
      <w:keepLines/>
      <w:spacing w:before="360" w:after="80" w:line="278"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Nagwek2">
    <w:name w:val="heading 2"/>
    <w:basedOn w:val="Normalny"/>
    <w:next w:val="Normalny"/>
    <w:link w:val="Nagwek2Znak"/>
    <w:uiPriority w:val="9"/>
    <w:semiHidden/>
    <w:unhideWhenUsed/>
    <w:qFormat/>
    <w:rsid w:val="00B455FC"/>
    <w:pPr>
      <w:keepNext/>
      <w:keepLines/>
      <w:spacing w:before="160" w:after="80" w:line="278"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Nagwek3">
    <w:name w:val="heading 3"/>
    <w:basedOn w:val="Normalny"/>
    <w:next w:val="Normalny"/>
    <w:link w:val="Nagwek3Znak"/>
    <w:uiPriority w:val="9"/>
    <w:semiHidden/>
    <w:unhideWhenUsed/>
    <w:qFormat/>
    <w:rsid w:val="00B455FC"/>
    <w:pPr>
      <w:keepNext/>
      <w:keepLines/>
      <w:spacing w:before="160" w:after="80" w:line="278" w:lineRule="auto"/>
      <w:outlineLvl w:val="2"/>
    </w:pPr>
    <w:rPr>
      <w:rFonts w:eastAsiaTheme="majorEastAsia" w:cstheme="majorBidi"/>
      <w:color w:val="0F4761" w:themeColor="accent1" w:themeShade="BF"/>
      <w:kern w:val="2"/>
      <w:sz w:val="28"/>
      <w:szCs w:val="28"/>
      <w14:ligatures w14:val="standardContextual"/>
    </w:rPr>
  </w:style>
  <w:style w:type="paragraph" w:styleId="Nagwek4">
    <w:name w:val="heading 4"/>
    <w:basedOn w:val="Normalny"/>
    <w:next w:val="Normalny"/>
    <w:link w:val="Nagwek4Znak"/>
    <w:uiPriority w:val="9"/>
    <w:semiHidden/>
    <w:unhideWhenUsed/>
    <w:qFormat/>
    <w:rsid w:val="00B455FC"/>
    <w:pPr>
      <w:keepNext/>
      <w:keepLines/>
      <w:spacing w:before="80" w:after="40" w:line="278" w:lineRule="auto"/>
      <w:outlineLvl w:val="3"/>
    </w:pPr>
    <w:rPr>
      <w:rFonts w:eastAsiaTheme="majorEastAsia" w:cstheme="majorBidi"/>
      <w:i/>
      <w:iCs/>
      <w:color w:val="0F4761" w:themeColor="accent1" w:themeShade="BF"/>
      <w:kern w:val="2"/>
      <w:sz w:val="24"/>
      <w:szCs w:val="24"/>
      <w14:ligatures w14:val="standardContextual"/>
    </w:rPr>
  </w:style>
  <w:style w:type="paragraph" w:styleId="Nagwek5">
    <w:name w:val="heading 5"/>
    <w:basedOn w:val="Normalny"/>
    <w:next w:val="Normalny"/>
    <w:link w:val="Nagwek5Znak"/>
    <w:uiPriority w:val="9"/>
    <w:semiHidden/>
    <w:unhideWhenUsed/>
    <w:qFormat/>
    <w:rsid w:val="00B455FC"/>
    <w:pPr>
      <w:keepNext/>
      <w:keepLines/>
      <w:spacing w:before="80" w:after="40" w:line="278" w:lineRule="auto"/>
      <w:outlineLvl w:val="4"/>
    </w:pPr>
    <w:rPr>
      <w:rFonts w:eastAsiaTheme="majorEastAsia" w:cstheme="majorBidi"/>
      <w:color w:val="0F4761" w:themeColor="accent1" w:themeShade="BF"/>
      <w:kern w:val="2"/>
      <w:sz w:val="24"/>
      <w:szCs w:val="24"/>
      <w14:ligatures w14:val="standardContextual"/>
    </w:rPr>
  </w:style>
  <w:style w:type="paragraph" w:styleId="Nagwek6">
    <w:name w:val="heading 6"/>
    <w:basedOn w:val="Normalny"/>
    <w:next w:val="Normalny"/>
    <w:link w:val="Nagwek6Znak"/>
    <w:uiPriority w:val="9"/>
    <w:semiHidden/>
    <w:unhideWhenUsed/>
    <w:qFormat/>
    <w:rsid w:val="00B455FC"/>
    <w:pPr>
      <w:keepNext/>
      <w:keepLines/>
      <w:spacing w:before="40" w:after="0" w:line="278" w:lineRule="auto"/>
      <w:outlineLvl w:val="5"/>
    </w:pPr>
    <w:rPr>
      <w:rFonts w:eastAsiaTheme="majorEastAsia" w:cstheme="majorBidi"/>
      <w:i/>
      <w:iCs/>
      <w:color w:val="595959" w:themeColor="text1" w:themeTint="A6"/>
      <w:kern w:val="2"/>
      <w:sz w:val="24"/>
      <w:szCs w:val="24"/>
      <w14:ligatures w14:val="standardContextual"/>
    </w:rPr>
  </w:style>
  <w:style w:type="paragraph" w:styleId="Nagwek7">
    <w:name w:val="heading 7"/>
    <w:basedOn w:val="Normalny"/>
    <w:next w:val="Normalny"/>
    <w:link w:val="Nagwek7Znak"/>
    <w:uiPriority w:val="9"/>
    <w:semiHidden/>
    <w:unhideWhenUsed/>
    <w:qFormat/>
    <w:rsid w:val="00B455FC"/>
    <w:pPr>
      <w:keepNext/>
      <w:keepLines/>
      <w:spacing w:before="40" w:after="0" w:line="278" w:lineRule="auto"/>
      <w:outlineLvl w:val="6"/>
    </w:pPr>
    <w:rPr>
      <w:rFonts w:eastAsiaTheme="majorEastAsia" w:cstheme="majorBidi"/>
      <w:color w:val="595959" w:themeColor="text1" w:themeTint="A6"/>
      <w:kern w:val="2"/>
      <w:sz w:val="24"/>
      <w:szCs w:val="24"/>
      <w14:ligatures w14:val="standardContextual"/>
    </w:rPr>
  </w:style>
  <w:style w:type="paragraph" w:styleId="Nagwek8">
    <w:name w:val="heading 8"/>
    <w:basedOn w:val="Normalny"/>
    <w:next w:val="Normalny"/>
    <w:link w:val="Nagwek8Znak"/>
    <w:uiPriority w:val="9"/>
    <w:semiHidden/>
    <w:unhideWhenUsed/>
    <w:qFormat/>
    <w:rsid w:val="00B455FC"/>
    <w:pPr>
      <w:keepNext/>
      <w:keepLines/>
      <w:spacing w:after="0" w:line="278" w:lineRule="auto"/>
      <w:outlineLvl w:val="7"/>
    </w:pPr>
    <w:rPr>
      <w:rFonts w:eastAsiaTheme="majorEastAsia" w:cstheme="majorBidi"/>
      <w:i/>
      <w:iCs/>
      <w:color w:val="272727" w:themeColor="text1" w:themeTint="D8"/>
      <w:kern w:val="2"/>
      <w:sz w:val="24"/>
      <w:szCs w:val="24"/>
      <w14:ligatures w14:val="standardContextual"/>
    </w:rPr>
  </w:style>
  <w:style w:type="paragraph" w:styleId="Nagwek9">
    <w:name w:val="heading 9"/>
    <w:basedOn w:val="Normalny"/>
    <w:next w:val="Normalny"/>
    <w:link w:val="Nagwek9Znak"/>
    <w:uiPriority w:val="9"/>
    <w:semiHidden/>
    <w:unhideWhenUsed/>
    <w:qFormat/>
    <w:rsid w:val="00B455FC"/>
    <w:pPr>
      <w:keepNext/>
      <w:keepLines/>
      <w:spacing w:after="0" w:line="278" w:lineRule="auto"/>
      <w:outlineLvl w:val="8"/>
    </w:pPr>
    <w:rPr>
      <w:rFonts w:eastAsiaTheme="majorEastAsia" w:cstheme="majorBidi"/>
      <w:color w:val="272727" w:themeColor="text1" w:themeTint="D8"/>
      <w:kern w:val="2"/>
      <w:sz w:val="24"/>
      <w:szCs w:val="24"/>
      <w14:ligatures w14:val="standardContextua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B455FC"/>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B455FC"/>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455FC"/>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455FC"/>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B455FC"/>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455FC"/>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455FC"/>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455FC"/>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455FC"/>
    <w:rPr>
      <w:rFonts w:eastAsiaTheme="majorEastAsia" w:cstheme="majorBidi"/>
      <w:color w:val="272727" w:themeColor="text1" w:themeTint="D8"/>
    </w:rPr>
  </w:style>
  <w:style w:type="paragraph" w:styleId="Tytu">
    <w:name w:val="Title"/>
    <w:basedOn w:val="Normalny"/>
    <w:next w:val="Normalny"/>
    <w:link w:val="TytuZnak"/>
    <w:uiPriority w:val="10"/>
    <w:qFormat/>
    <w:rsid w:val="00B455FC"/>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ytuZnak">
    <w:name w:val="Tytuł Znak"/>
    <w:basedOn w:val="Domylnaczcionkaakapitu"/>
    <w:link w:val="Tytu"/>
    <w:uiPriority w:val="10"/>
    <w:rsid w:val="00B455FC"/>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455FC"/>
    <w:pPr>
      <w:numPr>
        <w:ilvl w:val="1"/>
      </w:numPr>
      <w:spacing w:line="278" w:lineRule="auto"/>
    </w:pPr>
    <w:rPr>
      <w:rFonts w:eastAsiaTheme="majorEastAsia" w:cstheme="majorBidi"/>
      <w:color w:val="595959" w:themeColor="text1" w:themeTint="A6"/>
      <w:spacing w:val="15"/>
      <w:kern w:val="2"/>
      <w:sz w:val="28"/>
      <w:szCs w:val="28"/>
      <w14:ligatures w14:val="standardContextual"/>
    </w:rPr>
  </w:style>
  <w:style w:type="character" w:customStyle="1" w:styleId="PodtytuZnak">
    <w:name w:val="Podtytuł Znak"/>
    <w:basedOn w:val="Domylnaczcionkaakapitu"/>
    <w:link w:val="Podtytu"/>
    <w:uiPriority w:val="11"/>
    <w:rsid w:val="00B455FC"/>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455FC"/>
    <w:pPr>
      <w:spacing w:before="160" w:line="278" w:lineRule="auto"/>
      <w:jc w:val="center"/>
    </w:pPr>
    <w:rPr>
      <w:i/>
      <w:iCs/>
      <w:color w:val="404040" w:themeColor="text1" w:themeTint="BF"/>
      <w:kern w:val="2"/>
      <w:sz w:val="24"/>
      <w:szCs w:val="24"/>
      <w14:ligatures w14:val="standardContextual"/>
    </w:rPr>
  </w:style>
  <w:style w:type="character" w:customStyle="1" w:styleId="CytatZnak">
    <w:name w:val="Cytat Znak"/>
    <w:basedOn w:val="Domylnaczcionkaakapitu"/>
    <w:link w:val="Cytat"/>
    <w:uiPriority w:val="29"/>
    <w:rsid w:val="00B455FC"/>
    <w:rPr>
      <w:i/>
      <w:iCs/>
      <w:color w:val="404040" w:themeColor="text1" w:themeTint="BF"/>
    </w:rPr>
  </w:style>
  <w:style w:type="paragraph" w:styleId="Akapitzlist">
    <w:name w:val="List Paragraph"/>
    <w:basedOn w:val="Normalny"/>
    <w:uiPriority w:val="34"/>
    <w:qFormat/>
    <w:rsid w:val="00B455FC"/>
    <w:pPr>
      <w:spacing w:line="278" w:lineRule="auto"/>
      <w:ind w:left="720"/>
      <w:contextualSpacing/>
    </w:pPr>
    <w:rPr>
      <w:kern w:val="2"/>
      <w:sz w:val="24"/>
      <w:szCs w:val="24"/>
      <w14:ligatures w14:val="standardContextual"/>
    </w:rPr>
  </w:style>
  <w:style w:type="character" w:styleId="Wyrnienieintensywne">
    <w:name w:val="Intense Emphasis"/>
    <w:basedOn w:val="Domylnaczcionkaakapitu"/>
    <w:uiPriority w:val="21"/>
    <w:qFormat/>
    <w:rsid w:val="00B455FC"/>
    <w:rPr>
      <w:i/>
      <w:iCs/>
      <w:color w:val="0F4761" w:themeColor="accent1" w:themeShade="BF"/>
    </w:rPr>
  </w:style>
  <w:style w:type="paragraph" w:styleId="Cytatintensywny">
    <w:name w:val="Intense Quote"/>
    <w:basedOn w:val="Normalny"/>
    <w:next w:val="Normalny"/>
    <w:link w:val="CytatintensywnyZnak"/>
    <w:uiPriority w:val="30"/>
    <w:qFormat/>
    <w:rsid w:val="00B455FC"/>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kern w:val="2"/>
      <w:sz w:val="24"/>
      <w:szCs w:val="24"/>
      <w14:ligatures w14:val="standardContextual"/>
    </w:rPr>
  </w:style>
  <w:style w:type="character" w:customStyle="1" w:styleId="CytatintensywnyZnak">
    <w:name w:val="Cytat intensywny Znak"/>
    <w:basedOn w:val="Domylnaczcionkaakapitu"/>
    <w:link w:val="Cytatintensywny"/>
    <w:uiPriority w:val="30"/>
    <w:rsid w:val="00B455FC"/>
    <w:rPr>
      <w:i/>
      <w:iCs/>
      <w:color w:val="0F4761" w:themeColor="accent1" w:themeShade="BF"/>
    </w:rPr>
  </w:style>
  <w:style w:type="character" w:styleId="Odwoanieintensywne">
    <w:name w:val="Intense Reference"/>
    <w:basedOn w:val="Domylnaczcionkaakapitu"/>
    <w:uiPriority w:val="32"/>
    <w:qFormat/>
    <w:rsid w:val="00B455FC"/>
    <w:rPr>
      <w:b/>
      <w:bCs/>
      <w:smallCaps/>
      <w:color w:val="0F4761" w:themeColor="accent1" w:themeShade="BF"/>
      <w:spacing w:val="5"/>
    </w:rPr>
  </w:style>
  <w:style w:type="paragraph" w:styleId="Nagwek">
    <w:name w:val="header"/>
    <w:basedOn w:val="Normalny"/>
    <w:link w:val="NagwekZnak"/>
    <w:uiPriority w:val="99"/>
    <w:unhideWhenUsed/>
    <w:rsid w:val="00C93C81"/>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93C81"/>
    <w:rPr>
      <w:kern w:val="0"/>
      <w:sz w:val="22"/>
      <w:szCs w:val="22"/>
      <w14:ligatures w14:val="none"/>
    </w:rPr>
  </w:style>
  <w:style w:type="paragraph" w:styleId="Stopka">
    <w:name w:val="footer"/>
    <w:basedOn w:val="Normalny"/>
    <w:link w:val="StopkaZnak"/>
    <w:uiPriority w:val="99"/>
    <w:unhideWhenUsed/>
    <w:rsid w:val="00C93C81"/>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93C81"/>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1873</Words>
  <Characters>8825</Characters>
  <Application>Microsoft Office Word</Application>
  <DocSecurity>0</DocSecurity>
  <Lines>100</Lines>
  <Paragraphs>42</Paragraphs>
  <ScaleCrop>false</ScaleCrop>
  <Company/>
  <LinksUpToDate>false</LinksUpToDate>
  <CharactersWithSpaces>10656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2026-03-19T11:50:00Z</dcterms:created>
  <dcterms:modified xsi:type="dcterms:W3CDTF">2026-03-19T11:50:00Z</dcterms:modified>
</cp:coreProperties>
</file>